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A32B8">
      <w:pPr>
        <w:spacing w:line="480" w:lineRule="exact"/>
        <w:ind w:left="100"/>
        <w:jc w:val="center"/>
        <w:rPr>
          <w:rFonts w:hint="eastAsia" w:ascii="微软雅黑" w:hAnsi="微软雅黑" w:eastAsia="微软雅黑" w:cs="微软雅黑"/>
          <w:sz w:val="24"/>
          <w:lang w:eastAsia="zh-CN"/>
        </w:rPr>
      </w:pPr>
      <w:r>
        <w:rPr>
          <w:rFonts w:hint="eastAsia" w:ascii="微软雅黑" w:hAnsi="微软雅黑" w:eastAsia="微软雅黑" w:cs="微软雅黑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-77470</wp:posOffset>
            </wp:positionV>
            <wp:extent cx="1639570" cy="592455"/>
            <wp:effectExtent l="0" t="0" r="17780" b="17145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9824" cy="592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 xml:space="preserve">           </w:t>
      </w:r>
      <w:r>
        <w:rPr>
          <w:rFonts w:hint="eastAsia" w:ascii="微软雅黑" w:hAnsi="微软雅黑" w:eastAsia="微软雅黑" w:cs="微软雅黑"/>
          <w:b/>
          <w:bCs/>
          <w:sz w:val="36"/>
        </w:rPr>
        <w:t xml:space="preserve"> </w:t>
      </w:r>
      <w:r>
        <w:rPr>
          <w:rFonts w:hint="eastAsia" w:ascii="微软雅黑" w:hAnsi="微软雅黑" w:eastAsia="微软雅黑" w:cs="微软雅黑"/>
          <w:b/>
          <w:sz w:val="30"/>
        </w:rPr>
        <w:t>LV</w:t>
      </w:r>
      <w:r>
        <w:rPr>
          <w:rFonts w:hint="eastAsia" w:ascii="微软雅黑" w:hAnsi="微软雅黑" w:eastAsia="微软雅黑" w:cs="微软雅黑"/>
          <w:b/>
          <w:sz w:val="30"/>
          <w:lang w:val="en-US" w:eastAsia="zh-CN"/>
        </w:rPr>
        <w:t>1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sz w:val="30"/>
        </w:rPr>
        <w:t>-5</w:t>
      </w:r>
      <w:r>
        <w:rPr>
          <w:rFonts w:hint="eastAsia" w:ascii="微软雅黑" w:hAnsi="微软雅黑" w:eastAsia="微软雅黑" w:cs="微软雅黑"/>
          <w:b/>
          <w:sz w:val="30"/>
          <w:lang w:val="en-US" w:eastAsia="zh-CN"/>
        </w:rPr>
        <w:t>HW高导热超</w:t>
      </w:r>
      <w:r>
        <w:rPr>
          <w:rFonts w:hint="eastAsia" w:ascii="微软雅黑" w:hAnsi="微软雅黑" w:eastAsia="微软雅黑" w:cs="微软雅黑"/>
          <w:b/>
          <w:sz w:val="30"/>
        </w:rPr>
        <w:t>低挥发份乙烯基硅油</w:t>
      </w:r>
      <w:r>
        <w:rPr>
          <w:rFonts w:hint="eastAsia" w:ascii="微软雅黑" w:hAnsi="微软雅黑" w:eastAsia="微软雅黑" w:cs="微软雅黑"/>
          <w:b/>
          <w:sz w:val="30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sz w:val="30"/>
          <w:lang w:val="en-US" w:eastAsia="zh-CN"/>
        </w:rPr>
        <w:t>超低挥</w:t>
      </w:r>
      <w:r>
        <w:rPr>
          <w:rFonts w:hint="eastAsia" w:ascii="微软雅黑" w:hAnsi="微软雅黑" w:eastAsia="微软雅黑" w:cs="微软雅黑"/>
          <w:b/>
          <w:sz w:val="30"/>
          <w:lang w:eastAsia="zh-CN"/>
        </w:rPr>
        <w:t>）</w:t>
      </w:r>
    </w:p>
    <w:p w14:paraId="466CE6B9">
      <w:pPr>
        <w:spacing w:line="480" w:lineRule="exact"/>
        <w:ind w:firstLine="420"/>
        <w:jc w:val="left"/>
        <w:rPr>
          <w:rFonts w:ascii="微软雅黑" w:hAnsi="微软雅黑" w:eastAsia="微软雅黑" w:cs="微软雅黑"/>
          <w:b/>
          <w:bCs/>
          <w:sz w:val="28"/>
          <w:szCs w:val="28"/>
        </w:rPr>
      </w:pPr>
    </w:p>
    <w:p w14:paraId="5FE13B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产品描述</w:t>
      </w:r>
    </w:p>
    <w:p w14:paraId="45B8F0CA">
      <w:pPr>
        <w:keepNext w:val="0"/>
        <w:keepLines w:val="0"/>
        <w:pageBreakBefore w:val="0"/>
        <w:widowControl w:val="0"/>
        <w:tabs>
          <w:tab w:val="left" w:pos="3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color w:val="00000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zh-CN"/>
        </w:rPr>
        <w:t>高导热超低挥发份液体胶是由超低挥发份乙烯基硅油作为主剂、配套高导热粉、交联剂、催化剂和含氢硅油组成。超低挥发份乙烯基硅油是生产加成型液体胶基础胶料，降低加成型硅胶的挥发份改善其流动性、抗撕裂性等物理机械性能，同时减少冒油的效果，应用于导热垫片等功能性产品。</w:t>
      </w:r>
    </w:p>
    <w:p w14:paraId="08DE8F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380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产品应用</w:t>
      </w:r>
    </w:p>
    <w:p w14:paraId="635FA4AE">
      <w:pPr>
        <w:keepNext w:val="0"/>
        <w:keepLines w:val="0"/>
        <w:pageBreakBefore w:val="0"/>
        <w:widowControl w:val="0"/>
        <w:tabs>
          <w:tab w:val="left" w:pos="3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zh-CN"/>
        </w:rPr>
        <w:t>导热硅胶垫片、导热产品等</w:t>
      </w:r>
    </w:p>
    <w:p w14:paraId="5CFE4F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产品特性</w:t>
      </w:r>
    </w:p>
    <w:p w14:paraId="2EFC7A1F">
      <w:pPr>
        <w:keepNext w:val="0"/>
        <w:keepLines w:val="0"/>
        <w:pageBreakBefore w:val="0"/>
        <w:widowControl w:val="0"/>
        <w:tabs>
          <w:tab w:val="left" w:pos="367"/>
          <w:tab w:val="center" w:pos="52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en-US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en-US"/>
        </w:rPr>
        <w:t xml:space="preserve">.无碱离子 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zh-CN"/>
        </w:rPr>
        <w:tab/>
      </w:r>
    </w:p>
    <w:p w14:paraId="2233079E">
      <w:pPr>
        <w:keepNext w:val="0"/>
        <w:keepLines w:val="0"/>
        <w:pageBreakBefore w:val="0"/>
        <w:widowControl w:val="0"/>
        <w:tabs>
          <w:tab w:val="left" w:pos="3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en-US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zh-CN"/>
        </w:rPr>
        <w:t>.超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en-US"/>
        </w:rPr>
        <w:t>低挥发份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zh-CN"/>
        </w:rPr>
        <w:t>、低环体</w:t>
      </w:r>
    </w:p>
    <w:p w14:paraId="00BF24CD">
      <w:pPr>
        <w:keepNext w:val="0"/>
        <w:keepLines w:val="0"/>
        <w:pageBreakBefore w:val="0"/>
        <w:widowControl w:val="0"/>
        <w:tabs>
          <w:tab w:val="left" w:pos="3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zh-CN"/>
        </w:rPr>
        <w:t>.无毒、无味、无机械杂质的透明油状物</w:t>
      </w:r>
    </w:p>
    <w:p w14:paraId="61DFD714">
      <w:pPr>
        <w:keepNext w:val="0"/>
        <w:keepLines w:val="0"/>
        <w:pageBreakBefore w:val="0"/>
        <w:widowControl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产品性能参数</w:t>
      </w:r>
    </w:p>
    <w:tbl>
      <w:tblPr>
        <w:tblStyle w:val="10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86"/>
        <w:gridCol w:w="3073"/>
      </w:tblGrid>
      <w:tr w14:paraId="08A091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FC3F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bottom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934B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  <w:t>指标</w:t>
            </w:r>
          </w:p>
        </w:tc>
      </w:tr>
      <w:tr w14:paraId="41A2FF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B672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bottom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  <w:t>外观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38FF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无色透明油状液体</w:t>
            </w:r>
          </w:p>
        </w:tc>
      </w:tr>
      <w:tr w14:paraId="7262E2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E30E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bottom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  <w:t>粘度(mm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  <w:t>/s)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234A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500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val="en-US" w:eastAsia="zh-CN"/>
              </w:rPr>
              <w:t>-700</w:t>
            </w:r>
          </w:p>
        </w:tc>
      </w:tr>
      <w:tr w14:paraId="0F1233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D30F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bottom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  <w:t>挥发份（200</w:t>
            </w:r>
            <w:r>
              <w:rPr>
                <w:rStyle w:val="19"/>
                <w:rFonts w:hint="default" w:ascii="微软雅黑" w:hAnsi="微软雅黑" w:eastAsia="微软雅黑" w:cs="微软雅黑"/>
                <w:b/>
                <w:bCs/>
              </w:rPr>
              <w:t>℃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  <w:t>,4h, %</w:t>
            </w:r>
            <w:r>
              <w:rPr>
                <w:rStyle w:val="19"/>
                <w:rFonts w:hint="default" w:ascii="微软雅黑" w:hAnsi="微软雅黑" w:eastAsia="微软雅黑" w:cs="微软雅黑"/>
                <w:b/>
                <w:bCs/>
              </w:rPr>
              <w:t>）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BF28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val="en-US" w:eastAsia="zh-CN"/>
              </w:rPr>
              <w:t>≤0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.05</w:t>
            </w:r>
          </w:p>
        </w:tc>
      </w:tr>
      <w:tr w14:paraId="611B05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53FC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bottom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  <w:t>乙烯基含量(%)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61DD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微软雅黑" w:hAnsi="微软雅黑" w:eastAsia="微软雅黑" w:cs="微软雅黑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0.4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~0.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val="en-US" w:eastAsia="zh-CN"/>
              </w:rPr>
              <w:t>45</w:t>
            </w:r>
          </w:p>
        </w:tc>
      </w:tr>
      <w:tr w14:paraId="7E6B21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E671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bottom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  <w:t>环体总含量（ppm）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1F37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&lt;100</w:t>
            </w:r>
          </w:p>
        </w:tc>
      </w:tr>
    </w:tbl>
    <w:p w14:paraId="31BCF8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使用方法</w:t>
      </w:r>
    </w:p>
    <w:p w14:paraId="6334F2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使用者可以根据其特性结合自身的使用情况确定用量。</w:t>
      </w:r>
    </w:p>
    <w:p w14:paraId="303A60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sz w:val="24"/>
        </w:rPr>
        <w:t>储存条件</w:t>
      </w:r>
    </w:p>
    <w:p w14:paraId="52485C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</w:rPr>
        <w:t>包装：</w:t>
      </w:r>
      <w:r>
        <w:rPr>
          <w:rFonts w:hint="default" w:ascii="微软雅黑" w:hAnsi="微软雅黑" w:eastAsia="微软雅黑" w:cs="微软雅黑"/>
          <w:lang w:val="en-US"/>
        </w:rPr>
        <w:t>19</w:t>
      </w:r>
      <w:r>
        <w:rPr>
          <w:rFonts w:hint="eastAsia" w:ascii="微软雅黑" w:hAnsi="微软雅黑" w:eastAsia="微软雅黑" w:cs="微软雅黑"/>
        </w:rPr>
        <w:t xml:space="preserve">0kg/桶  </w:t>
      </w:r>
    </w:p>
    <w:p w14:paraId="74A068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" w:right="13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储藏：保存于干燥、通风、阴凉处</w:t>
      </w:r>
    </w:p>
    <w:p w14:paraId="58BE26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Cs/>
          <w:szCs w:val="21"/>
        </w:rPr>
        <w:t>保质期</w:t>
      </w:r>
      <w:r>
        <w:rPr>
          <w:rFonts w:hint="eastAsia" w:ascii="微软雅黑" w:hAnsi="微软雅黑" w:eastAsia="微软雅黑" w:cs="微软雅黑"/>
          <w:b/>
          <w:sz w:val="24"/>
        </w:rPr>
        <w:t>：</w:t>
      </w:r>
      <w:r>
        <w:rPr>
          <w:rFonts w:hint="eastAsia" w:ascii="微软雅黑" w:hAnsi="微软雅黑" w:eastAsia="微软雅黑" w:cs="微软雅黑"/>
        </w:rPr>
        <w:t>12个月，超期复检合格仍可使用</w:t>
      </w:r>
    </w:p>
    <w:p w14:paraId="5B9EF8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微软雅黑" w:hAnsi="微软雅黑" w:eastAsia="微软雅黑" w:cs="微软雅黑"/>
        </w:rPr>
      </w:pPr>
    </w:p>
    <w:p w14:paraId="1723363A">
      <w:pPr>
        <w:pStyle w:val="16"/>
        <w:keepNext w:val="0"/>
        <w:keepLines w:val="0"/>
        <w:pageBreakBefore w:val="0"/>
        <w:tabs>
          <w:tab w:val="left" w:pos="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5" w:line="240" w:lineRule="auto"/>
        <w:ind w:left="0" w:firstLine="0"/>
        <w:rPr>
          <w:rFonts w:ascii="微软雅黑" w:hAnsi="微软雅黑" w:eastAsia="微软雅黑" w:cs="微软雅黑"/>
          <w:color w:val="000000"/>
          <w:szCs w:val="21"/>
        </w:rPr>
      </w:pPr>
    </w:p>
    <w:sectPr>
      <w:headerReference r:id="rId3" w:type="default"/>
      <w:footerReference r:id="rId4" w:type="default"/>
      <w:pgSz w:w="11906" w:h="16838"/>
      <w:pgMar w:top="779" w:right="1406" w:bottom="312" w:left="10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PKPFI+Arial,Bold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878887">
    <w:pPr>
      <w:pStyle w:val="7"/>
    </w:pPr>
    <w:r>
      <w:rPr>
        <w:rFonts w:hint="eastAsia" w:ascii="Arial"/>
        <w:sz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274320</wp:posOffset>
          </wp:positionH>
          <wp:positionV relativeFrom="paragraph">
            <wp:posOffset>-119380</wp:posOffset>
          </wp:positionV>
          <wp:extent cx="6124575" cy="848360"/>
          <wp:effectExtent l="0" t="0" r="9525" b="8890"/>
          <wp:wrapNone/>
          <wp:docPr id="3" name="图片 3" descr="TDS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TDS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4575" cy="848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2BB68A">
    <w:pPr>
      <w:spacing w:line="14" w:lineRule="auto"/>
    </w:pPr>
  </w:p>
  <w:p w14:paraId="70C3700F">
    <w:pPr>
      <w:pStyle w:val="8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ExZjUwYjI1YjYwNmYxZDQ1NjU3MTg1Yzc3OGE5ZDgifQ=="/>
  </w:docVars>
  <w:rsids>
    <w:rsidRoot w:val="00172A27"/>
    <w:rsid w:val="000324F1"/>
    <w:rsid w:val="00105A9C"/>
    <w:rsid w:val="00172A27"/>
    <w:rsid w:val="00176507"/>
    <w:rsid w:val="004A5463"/>
    <w:rsid w:val="00555A7A"/>
    <w:rsid w:val="005C301B"/>
    <w:rsid w:val="005E5294"/>
    <w:rsid w:val="0060252E"/>
    <w:rsid w:val="006249E6"/>
    <w:rsid w:val="00675A48"/>
    <w:rsid w:val="00725F36"/>
    <w:rsid w:val="00875C14"/>
    <w:rsid w:val="00A64C14"/>
    <w:rsid w:val="00B4163D"/>
    <w:rsid w:val="00B43C2B"/>
    <w:rsid w:val="00D07D78"/>
    <w:rsid w:val="00DE3274"/>
    <w:rsid w:val="00DE5006"/>
    <w:rsid w:val="00E35D27"/>
    <w:rsid w:val="00F03258"/>
    <w:rsid w:val="01BB1ACB"/>
    <w:rsid w:val="067D26D4"/>
    <w:rsid w:val="08360008"/>
    <w:rsid w:val="085A0F0E"/>
    <w:rsid w:val="09432607"/>
    <w:rsid w:val="09D63EB0"/>
    <w:rsid w:val="0BD107F3"/>
    <w:rsid w:val="0CF550D2"/>
    <w:rsid w:val="0D0E6D2C"/>
    <w:rsid w:val="0D710DD3"/>
    <w:rsid w:val="0D8148C8"/>
    <w:rsid w:val="0EFF5127"/>
    <w:rsid w:val="0F754B3D"/>
    <w:rsid w:val="0FF90BC3"/>
    <w:rsid w:val="0FFA0C94"/>
    <w:rsid w:val="104A5DEF"/>
    <w:rsid w:val="10B87CFC"/>
    <w:rsid w:val="116F12D7"/>
    <w:rsid w:val="11C101AE"/>
    <w:rsid w:val="135D0654"/>
    <w:rsid w:val="13E111A4"/>
    <w:rsid w:val="140621DE"/>
    <w:rsid w:val="14FA2D07"/>
    <w:rsid w:val="166E0C8F"/>
    <w:rsid w:val="1785467D"/>
    <w:rsid w:val="17A96FEC"/>
    <w:rsid w:val="19B66E06"/>
    <w:rsid w:val="1A5D684E"/>
    <w:rsid w:val="1D312BA4"/>
    <w:rsid w:val="1E2518ED"/>
    <w:rsid w:val="1EBF165B"/>
    <w:rsid w:val="21583305"/>
    <w:rsid w:val="2168489C"/>
    <w:rsid w:val="21744670"/>
    <w:rsid w:val="221617A0"/>
    <w:rsid w:val="223A77CD"/>
    <w:rsid w:val="24002098"/>
    <w:rsid w:val="24A529F7"/>
    <w:rsid w:val="278D2115"/>
    <w:rsid w:val="29971D33"/>
    <w:rsid w:val="29A34086"/>
    <w:rsid w:val="29F228EB"/>
    <w:rsid w:val="2DED0100"/>
    <w:rsid w:val="321A74F4"/>
    <w:rsid w:val="33055644"/>
    <w:rsid w:val="330A6248"/>
    <w:rsid w:val="345F7825"/>
    <w:rsid w:val="349A34DB"/>
    <w:rsid w:val="35EA0A53"/>
    <w:rsid w:val="365118F2"/>
    <w:rsid w:val="367E0974"/>
    <w:rsid w:val="37103EE5"/>
    <w:rsid w:val="374B49BA"/>
    <w:rsid w:val="3762212C"/>
    <w:rsid w:val="39BD6FC6"/>
    <w:rsid w:val="3A233939"/>
    <w:rsid w:val="3A26449D"/>
    <w:rsid w:val="3A881CA1"/>
    <w:rsid w:val="3A9E53BA"/>
    <w:rsid w:val="3B50358A"/>
    <w:rsid w:val="3B786622"/>
    <w:rsid w:val="3BD244B2"/>
    <w:rsid w:val="3DDE6EF4"/>
    <w:rsid w:val="3EFB33C5"/>
    <w:rsid w:val="3F5F7F07"/>
    <w:rsid w:val="3FE326DE"/>
    <w:rsid w:val="43392F14"/>
    <w:rsid w:val="439F14AC"/>
    <w:rsid w:val="44404B22"/>
    <w:rsid w:val="44564B28"/>
    <w:rsid w:val="44D01E5E"/>
    <w:rsid w:val="4511655E"/>
    <w:rsid w:val="4555504E"/>
    <w:rsid w:val="466A1281"/>
    <w:rsid w:val="46A7393A"/>
    <w:rsid w:val="471B1109"/>
    <w:rsid w:val="47700BDA"/>
    <w:rsid w:val="486C7095"/>
    <w:rsid w:val="48C1496D"/>
    <w:rsid w:val="498E6727"/>
    <w:rsid w:val="4AD04AB1"/>
    <w:rsid w:val="4CCA6959"/>
    <w:rsid w:val="4D863560"/>
    <w:rsid w:val="4E614CA7"/>
    <w:rsid w:val="4E79234E"/>
    <w:rsid w:val="505F3F6C"/>
    <w:rsid w:val="51203526"/>
    <w:rsid w:val="52B465D5"/>
    <w:rsid w:val="52C50867"/>
    <w:rsid w:val="536B34BA"/>
    <w:rsid w:val="541F3791"/>
    <w:rsid w:val="55434AD1"/>
    <w:rsid w:val="56262A42"/>
    <w:rsid w:val="565C3C84"/>
    <w:rsid w:val="57AE733F"/>
    <w:rsid w:val="581D3934"/>
    <w:rsid w:val="593276E3"/>
    <w:rsid w:val="599E4814"/>
    <w:rsid w:val="5AE4292D"/>
    <w:rsid w:val="5C384AE7"/>
    <w:rsid w:val="5C9B2A55"/>
    <w:rsid w:val="5EAB19DE"/>
    <w:rsid w:val="5EC714CD"/>
    <w:rsid w:val="5F933EDA"/>
    <w:rsid w:val="623D2400"/>
    <w:rsid w:val="63A672D3"/>
    <w:rsid w:val="63C913A6"/>
    <w:rsid w:val="6458542D"/>
    <w:rsid w:val="64C55A61"/>
    <w:rsid w:val="653B6D24"/>
    <w:rsid w:val="6695444F"/>
    <w:rsid w:val="673C1CED"/>
    <w:rsid w:val="67BC5ABE"/>
    <w:rsid w:val="67F33A1A"/>
    <w:rsid w:val="689D5187"/>
    <w:rsid w:val="6B3F7D21"/>
    <w:rsid w:val="6BEF59E1"/>
    <w:rsid w:val="6CB37B57"/>
    <w:rsid w:val="6CF16E09"/>
    <w:rsid w:val="6E372E5F"/>
    <w:rsid w:val="6EDC35ED"/>
    <w:rsid w:val="709714C3"/>
    <w:rsid w:val="710D5854"/>
    <w:rsid w:val="73112975"/>
    <w:rsid w:val="74B62489"/>
    <w:rsid w:val="74B7598C"/>
    <w:rsid w:val="76716C87"/>
    <w:rsid w:val="76F6623C"/>
    <w:rsid w:val="7A905722"/>
    <w:rsid w:val="7D040A2A"/>
    <w:rsid w:val="7E595AD8"/>
    <w:rsid w:val="7E71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3"/>
      <w:ind w:left="337"/>
      <w:outlineLvl w:val="0"/>
    </w:pPr>
    <w:rPr>
      <w:rFonts w:ascii="宋体" w:hAnsi="宋体" w:cs="宋体"/>
      <w:sz w:val="22"/>
      <w:szCs w:val="22"/>
      <w:lang w:eastAsia="en-US" w:bidi="en-US"/>
    </w:rPr>
  </w:style>
  <w:style w:type="paragraph" w:styleId="3">
    <w:name w:val="heading 2"/>
    <w:basedOn w:val="1"/>
    <w:next w:val="4"/>
    <w:qFormat/>
    <w:uiPriority w:val="0"/>
    <w:pPr>
      <w:keepNext/>
      <w:tabs>
        <w:tab w:val="left" w:pos="6960"/>
      </w:tabs>
      <w:outlineLvl w:val="1"/>
    </w:pPr>
    <w:rPr>
      <w:rFonts w:ascii="Courier New" w:hAnsi="Courier New" w:eastAsia="PMingLiU"/>
      <w:b/>
      <w:sz w:val="24"/>
      <w:szCs w:val="20"/>
      <w:lang w:eastAsia="zh-TW"/>
    </w:rPr>
  </w:style>
  <w:style w:type="paragraph" w:styleId="5">
    <w:name w:val="heading 3"/>
    <w:basedOn w:val="1"/>
    <w:next w:val="1"/>
    <w:qFormat/>
    <w:uiPriority w:val="0"/>
    <w:pPr>
      <w:keepNext/>
      <w:spacing w:line="720" w:lineRule="atLeast"/>
      <w:outlineLvl w:val="2"/>
    </w:pPr>
    <w:rPr>
      <w:rFonts w:ascii="Arial" w:hAnsi="Arial" w:eastAsia="PMingLiU"/>
      <w:b/>
      <w:bCs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left="480"/>
      <w:jc w:val="left"/>
    </w:pPr>
    <w:rPr>
      <w:rFonts w:eastAsia="PMingLiU"/>
      <w:sz w:val="24"/>
      <w:szCs w:val="20"/>
      <w:lang w:eastAsia="zh-TW"/>
    </w:rPr>
  </w:style>
  <w:style w:type="paragraph" w:styleId="6">
    <w:name w:val="Body Text"/>
    <w:basedOn w:val="1"/>
    <w:qFormat/>
    <w:uiPriority w:val="1"/>
    <w:rPr>
      <w:rFonts w:ascii="Arial" w:hAnsi="Arial" w:eastAsia="Arial" w:cs="Arial"/>
      <w:sz w:val="16"/>
      <w:szCs w:val="16"/>
      <w:lang w:eastAsia="en-US" w:bidi="en-US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CPKPFI+Arial,Bold" w:hAnsi="Times New Roman" w:eastAsia="CPKPFI+Arial,Bold" w:cs="CPKPFI+Arial,Bold"/>
      <w:color w:val="000000"/>
      <w:sz w:val="24"/>
      <w:szCs w:val="24"/>
      <w:lang w:val="en-US" w:eastAsia="zh-CN" w:bidi="ar-SA"/>
    </w:rPr>
  </w:style>
  <w:style w:type="character" w:customStyle="1" w:styleId="14">
    <w:name w:val="fontstyle01"/>
    <w:basedOn w:val="12"/>
    <w:qFormat/>
    <w:uiPriority w:val="0"/>
    <w:rPr>
      <w:rFonts w:ascii="宋体" w:hAnsi="宋体" w:eastAsia="宋体" w:cs="宋体"/>
      <w:color w:val="000000"/>
      <w:sz w:val="22"/>
      <w:szCs w:val="22"/>
    </w:rPr>
  </w:style>
  <w:style w:type="character" w:customStyle="1" w:styleId="15">
    <w:name w:val="fontstyle21"/>
    <w:basedOn w:val="12"/>
    <w:qFormat/>
    <w:uiPriority w:val="0"/>
    <w:rPr>
      <w:rFonts w:ascii="TimesNewRomanPSMT" w:hAnsi="TimesNewRomanPSMT" w:eastAsia="TimesNewRomanPSMT" w:cs="TimesNewRomanPSMT"/>
      <w:color w:val="000000"/>
      <w:sz w:val="22"/>
      <w:szCs w:val="22"/>
    </w:rPr>
  </w:style>
  <w:style w:type="paragraph" w:styleId="16">
    <w:name w:val="List Paragraph"/>
    <w:basedOn w:val="1"/>
    <w:qFormat/>
    <w:uiPriority w:val="1"/>
    <w:pPr>
      <w:ind w:left="576" w:hanging="425"/>
    </w:pPr>
    <w:rPr>
      <w:rFonts w:ascii="楷体" w:hAnsi="楷体" w:eastAsia="楷体" w:cs="楷体"/>
      <w:lang w:eastAsia="en-US" w:bidi="en-US"/>
    </w:rPr>
  </w:style>
  <w:style w:type="character" w:customStyle="1" w:styleId="17">
    <w:name w:val="fontstyle31"/>
    <w:basedOn w:val="12"/>
    <w:qFormat/>
    <w:uiPriority w:val="0"/>
    <w:rPr>
      <w:rFonts w:ascii="TimesNewRomanPS-BoldMT" w:hAnsi="TimesNewRomanPS-BoldMT" w:eastAsia="TimesNewRomanPS-BoldMT" w:cs="TimesNewRomanPS-BoldMT"/>
      <w:b/>
      <w:color w:val="000000"/>
      <w:sz w:val="22"/>
      <w:szCs w:val="22"/>
    </w:rPr>
  </w:style>
  <w:style w:type="paragraph" w:customStyle="1" w:styleId="18">
    <w:name w:val="Table Paragraph"/>
    <w:basedOn w:val="1"/>
    <w:qFormat/>
    <w:uiPriority w:val="1"/>
    <w:rPr>
      <w:rFonts w:ascii="宋体" w:hAnsi="宋体" w:cs="宋体"/>
      <w:lang w:eastAsia="en-US" w:bidi="en-US"/>
    </w:rPr>
  </w:style>
  <w:style w:type="character" w:customStyle="1" w:styleId="19">
    <w:name w:val="font5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325</Words>
  <Characters>374</Characters>
  <Lines>2</Lines>
  <Paragraphs>1</Paragraphs>
  <TotalTime>2</TotalTime>
  <ScaleCrop>false</ScaleCrop>
  <LinksUpToDate>false</LinksUpToDate>
  <CharactersWithSpaces>391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2021-07-18T12:43:00Z</dcterms:created>
  <dc:creator>xjghost</dc:creator>
  <cp:lastModifiedBy>李婵芳Sally《康達科技集團》</cp:lastModifiedBy>
  <cp:lastPrinted>2022-08-09T06:14:00Z</cp:lastPrinted>
  <dcterms:modified xsi:type="dcterms:W3CDTF">2025-03-24T03:21:51Z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D49F8188E28349F3BAFDF878E3977AD8</vt:lpwstr>
  </property>
  <property fmtid="{D5CDD505-2E9C-101B-9397-08002B2CF9AE}" pid="4" name="KSOTemplateDocerSaveRecord">
    <vt:lpwstr>eyJoZGlkIjoiNjFiZWE0NzIwZjJlYjlkMGUyMTVlOTliZmZjNjJlNmMiLCJ1c2VySWQiOiI3MzgwOTk0NjMifQ==</vt:lpwstr>
  </property>
</Properties>
</file>