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7511B8">
      <w:pPr>
        <w:jc w:val="left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自粘性液体硅橡胶（PA+玻纤</w:t>
      </w:r>
      <w:bookmarkStart w:id="0" w:name="OLE_LINK1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）</w:t>
      </w:r>
    </w:p>
    <w:p w14:paraId="2E99DC0D">
      <w:pPr>
        <w:ind w:firstLine="2881" w:firstLineChars="800"/>
        <w:jc w:val="both"/>
        <w:rPr>
          <w:rFonts w:hint="eastAsia" w:ascii="微软雅黑" w:hAnsi="微软雅黑" w:eastAsia="微软雅黑" w:cs="微软雅黑"/>
          <w:b/>
          <w:bCs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MSK LD7001-60A/B</w:t>
      </w:r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-877570</wp:posOffset>
            </wp:positionV>
            <wp:extent cx="1449705" cy="527685"/>
            <wp:effectExtent l="0" t="0" r="17145" b="5715"/>
            <wp:wrapSquare wrapText="bothSides"/>
            <wp:docPr id="2" name="图片 2" descr="MSK新矽化学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SK新矽化学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DB5AA6">
      <w:pPr>
        <w:ind w:left="267" w:hanging="233" w:hangingChars="83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 w:bidi="en-US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 w:bidi="en-US"/>
        </w:rPr>
        <w:t>一、产品描述：</w:t>
      </w:r>
    </w:p>
    <w:p w14:paraId="5BECFC7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0" w:hanging="420" w:firstLineChars="0"/>
        <w:textAlignment w:val="auto"/>
        <w:rPr>
          <w:rFonts w:hint="eastAsia" w:ascii="微软雅黑" w:hAnsi="微软雅黑" w:eastAsia="微软雅黑" w:cs="微软雅黑"/>
          <w:b/>
          <w:sz w:val="21"/>
          <w:szCs w:val="21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en-US"/>
        </w:rPr>
        <w:t>该产品是一种双组分、半透明的自粘性加成型液体硅橡胶，对有机塑料件具有粘接性，对金属模具具有脱模性，易染色，与PA塑料底材的附着力好，硫化速度快，优越的机械性能，可以注射或模压成型，特别适用于制备高强度硅橡胶与塑料材料的复合材料。</w:t>
      </w:r>
    </w:p>
    <w:p w14:paraId="7D1B9153">
      <w:pPr>
        <w:ind w:left="267" w:hanging="233" w:hangingChars="83"/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 w:bidi="en-US"/>
        </w:rPr>
        <w:t>二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 w:bidi="en-US"/>
        </w:rPr>
        <w:t>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en-US"/>
        </w:rPr>
        <w:t>应用领域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  <w:t>:</w:t>
      </w:r>
    </w:p>
    <w:p w14:paraId="5E39A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</w:pP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 xml:space="preserve">液体硅橡胶胶与 </w:t>
      </w: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>P</w:t>
      </w:r>
      <w:r>
        <w:rPr>
          <w:rStyle w:val="11"/>
          <w:rFonts w:hint="eastAsia" w:ascii="微软雅黑" w:hAnsi="微软雅黑" w:eastAsia="微软雅黑" w:cs="微软雅黑"/>
          <w:sz w:val="21"/>
          <w:szCs w:val="21"/>
          <w:lang w:val="en-US" w:eastAsia="zh-CN"/>
        </w:rPr>
        <w:t>A+玻纤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>一体成型产品，用于手机及其它电子产品</w:t>
      </w:r>
    </w:p>
    <w:p w14:paraId="697E902A">
      <w:pPr>
        <w:ind w:left="267" w:hanging="233" w:hangingChars="83"/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en-US"/>
        </w:rPr>
        <w:t>三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 w:bidi="en-US"/>
        </w:rPr>
        <w:t>、使用方法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  <w:t>:</w:t>
      </w:r>
    </w:p>
    <w:p w14:paraId="7A888F78"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40" w:lineRule="exact"/>
        <w:ind w:left="420" w:hanging="42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en-US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en-US"/>
        </w:rPr>
        <w:t>使用比例： A 胶:B 胶＝1:1</w:t>
      </w:r>
    </w:p>
    <w:p w14:paraId="758D6AC8"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40" w:lineRule="exact"/>
        <w:ind w:left="420" w:hanging="420"/>
        <w:textAlignment w:val="auto"/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en-US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en-US"/>
        </w:rPr>
        <w:t>将 A、 B 双组通过自动混合机按 1:1 进行混合，把混合好的胶料通过注射机注射到模具中，胶料必须饱满。（也可以手工搅拌混合，然后倒到模具里模压成型）。</w:t>
      </w:r>
    </w:p>
    <w:p w14:paraId="2AEC25B6">
      <w:pPr>
        <w:pStyle w:val="12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40" w:lineRule="exact"/>
        <w:ind w:left="420" w:hanging="420"/>
        <w:textAlignment w:val="auto"/>
        <w:rPr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kern w:val="2"/>
          <w:sz w:val="21"/>
          <w:szCs w:val="21"/>
          <w:lang w:val="en-US" w:eastAsia="zh-CN" w:bidi="en-US"/>
        </w:rPr>
        <w:t>建议固化条件为:120℃/180-240s(厚度 2mm)。</w:t>
      </w:r>
    </w:p>
    <w:p w14:paraId="0431DA89">
      <w:pPr>
        <w:ind w:left="267" w:hanging="233" w:hangingChars="83"/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 w:bidi="en-US"/>
        </w:rPr>
        <w:t>三、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 w:bidi="en-US"/>
        </w:rPr>
        <w:t>技术参数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bidi="en-US"/>
        </w:rPr>
        <w:t>：</w:t>
      </w:r>
    </w:p>
    <w:tbl>
      <w:tblPr>
        <w:tblStyle w:val="7"/>
        <w:tblW w:w="97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9"/>
        <w:gridCol w:w="1514"/>
        <w:gridCol w:w="1515"/>
        <w:gridCol w:w="5932"/>
      </w:tblGrid>
      <w:tr w14:paraId="2C992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</w:tcPr>
          <w:p w14:paraId="58F0B1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No.</w:t>
            </w:r>
          </w:p>
        </w:tc>
        <w:tc>
          <w:tcPr>
            <w:tcW w:w="3029" w:type="dxa"/>
            <w:gridSpan w:val="2"/>
          </w:tcPr>
          <w:p w14:paraId="3AB8B443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项目</w:t>
            </w:r>
          </w:p>
        </w:tc>
        <w:tc>
          <w:tcPr>
            <w:tcW w:w="5932" w:type="dxa"/>
          </w:tcPr>
          <w:p w14:paraId="0D03C16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LD7001-60AB</w:t>
            </w:r>
          </w:p>
        </w:tc>
      </w:tr>
      <w:tr w14:paraId="5AEF8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</w:tcPr>
          <w:p w14:paraId="0E9E04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1</w:t>
            </w:r>
          </w:p>
        </w:tc>
        <w:tc>
          <w:tcPr>
            <w:tcW w:w="3029" w:type="dxa"/>
            <w:gridSpan w:val="2"/>
          </w:tcPr>
          <w:p w14:paraId="0B62942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外 观</w:t>
            </w:r>
          </w:p>
        </w:tc>
        <w:tc>
          <w:tcPr>
            <w:tcW w:w="5932" w:type="dxa"/>
          </w:tcPr>
          <w:p w14:paraId="26D9300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半透明</w:t>
            </w:r>
          </w:p>
        </w:tc>
      </w:tr>
      <w:tr w14:paraId="20B5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vMerge w:val="restart"/>
            <w:vAlign w:val="center"/>
          </w:tcPr>
          <w:p w14:paraId="7EF5C53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2</w:t>
            </w:r>
          </w:p>
        </w:tc>
        <w:tc>
          <w:tcPr>
            <w:tcW w:w="1514" w:type="dxa"/>
            <w:vMerge w:val="restart"/>
            <w:vAlign w:val="center"/>
          </w:tcPr>
          <w:p w14:paraId="4689660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粘度，mPa.s</w:t>
            </w:r>
          </w:p>
        </w:tc>
        <w:tc>
          <w:tcPr>
            <w:tcW w:w="1515" w:type="dxa"/>
          </w:tcPr>
          <w:p w14:paraId="6AD26AD0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A</w:t>
            </w:r>
          </w:p>
        </w:tc>
        <w:tc>
          <w:tcPr>
            <w:tcW w:w="5932" w:type="dxa"/>
          </w:tcPr>
          <w:p w14:paraId="1F63CEC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400-700万</w:t>
            </w:r>
          </w:p>
        </w:tc>
      </w:tr>
      <w:tr w14:paraId="5685D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vMerge w:val="continue"/>
          </w:tcPr>
          <w:p w14:paraId="61367F0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</w:p>
        </w:tc>
        <w:tc>
          <w:tcPr>
            <w:tcW w:w="1514" w:type="dxa"/>
            <w:vMerge w:val="continue"/>
          </w:tcPr>
          <w:p w14:paraId="69AB60B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</w:p>
        </w:tc>
        <w:tc>
          <w:tcPr>
            <w:tcW w:w="1515" w:type="dxa"/>
          </w:tcPr>
          <w:p w14:paraId="1BE593C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B</w:t>
            </w:r>
          </w:p>
        </w:tc>
        <w:tc>
          <w:tcPr>
            <w:tcW w:w="5932" w:type="dxa"/>
          </w:tcPr>
          <w:p w14:paraId="668FAB7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1200-1800万</w:t>
            </w:r>
          </w:p>
        </w:tc>
      </w:tr>
      <w:tr w14:paraId="064CD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vAlign w:val="top"/>
          </w:tcPr>
          <w:p w14:paraId="7AC2D9D4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3</w:t>
            </w:r>
          </w:p>
        </w:tc>
        <w:tc>
          <w:tcPr>
            <w:tcW w:w="3029" w:type="dxa"/>
            <w:gridSpan w:val="2"/>
          </w:tcPr>
          <w:p w14:paraId="43F940C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硬度,Shora A</w:t>
            </w:r>
          </w:p>
        </w:tc>
        <w:tc>
          <w:tcPr>
            <w:tcW w:w="5932" w:type="dxa"/>
          </w:tcPr>
          <w:p w14:paraId="5C3FE59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57-63</w:t>
            </w:r>
          </w:p>
        </w:tc>
      </w:tr>
      <w:tr w14:paraId="7F481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vAlign w:val="top"/>
          </w:tcPr>
          <w:p w14:paraId="7DDA80F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4</w:t>
            </w:r>
          </w:p>
        </w:tc>
        <w:tc>
          <w:tcPr>
            <w:tcW w:w="3029" w:type="dxa"/>
            <w:gridSpan w:val="2"/>
          </w:tcPr>
          <w:p w14:paraId="09758209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比重,g/cm3</w:t>
            </w:r>
          </w:p>
        </w:tc>
        <w:tc>
          <w:tcPr>
            <w:tcW w:w="5932" w:type="dxa"/>
          </w:tcPr>
          <w:p w14:paraId="341C24E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1.1-1.14</w:t>
            </w:r>
          </w:p>
        </w:tc>
      </w:tr>
      <w:tr w14:paraId="7AAA4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vAlign w:val="top"/>
          </w:tcPr>
          <w:p w14:paraId="2DB41E9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5</w:t>
            </w:r>
          </w:p>
        </w:tc>
        <w:tc>
          <w:tcPr>
            <w:tcW w:w="3029" w:type="dxa"/>
            <w:gridSpan w:val="2"/>
          </w:tcPr>
          <w:p w14:paraId="658DE36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撕裂强度,kN/m</w:t>
            </w:r>
          </w:p>
        </w:tc>
        <w:tc>
          <w:tcPr>
            <w:tcW w:w="5932" w:type="dxa"/>
          </w:tcPr>
          <w:p w14:paraId="4619A96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≥25</w:t>
            </w:r>
          </w:p>
        </w:tc>
      </w:tr>
      <w:tr w14:paraId="27F29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vAlign w:val="top"/>
          </w:tcPr>
          <w:p w14:paraId="68E4DE9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6</w:t>
            </w:r>
          </w:p>
        </w:tc>
        <w:tc>
          <w:tcPr>
            <w:tcW w:w="3029" w:type="dxa"/>
            <w:gridSpan w:val="2"/>
          </w:tcPr>
          <w:p w14:paraId="55275906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拉伸强度,MPa</w:t>
            </w:r>
          </w:p>
        </w:tc>
        <w:tc>
          <w:tcPr>
            <w:tcW w:w="5932" w:type="dxa"/>
          </w:tcPr>
          <w:p w14:paraId="253A76C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≥7</w:t>
            </w:r>
          </w:p>
        </w:tc>
      </w:tr>
      <w:tr w14:paraId="13D60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99" w:type="dxa"/>
            <w:vAlign w:val="top"/>
          </w:tcPr>
          <w:p w14:paraId="22A51A85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7</w:t>
            </w:r>
          </w:p>
        </w:tc>
        <w:tc>
          <w:tcPr>
            <w:tcW w:w="3029" w:type="dxa"/>
            <w:gridSpan w:val="2"/>
          </w:tcPr>
          <w:p w14:paraId="1F9F006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断裂伸长率,%</w:t>
            </w:r>
          </w:p>
        </w:tc>
        <w:tc>
          <w:tcPr>
            <w:tcW w:w="5932" w:type="dxa"/>
          </w:tcPr>
          <w:p w14:paraId="65899A8E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lang w:val="en-US" w:eastAsia="zh-CN" w:bidi="en-US"/>
              </w:rPr>
              <w:t>≥300</w:t>
            </w:r>
          </w:p>
        </w:tc>
      </w:tr>
    </w:tbl>
    <w:p w14:paraId="0E69E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0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0"/>
          <w:rFonts w:hint="eastAsia" w:ascii="微软雅黑" w:hAnsi="微软雅黑" w:eastAsia="微软雅黑" w:cs="微软雅黑"/>
          <w:b/>
          <w:bCs/>
          <w:sz w:val="28"/>
          <w:szCs w:val="28"/>
        </w:rPr>
        <w:t>储存条件</w:t>
      </w:r>
    </w:p>
    <w:p w14:paraId="0EA0DA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0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>● 密封存放于阴凉干燥通风处。</w:t>
      </w:r>
    </w:p>
    <w:p w14:paraId="474069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0"/>
          <w:rFonts w:hint="eastAsia" w:ascii="微软雅黑" w:hAnsi="微软雅黑" w:eastAsia="微软雅黑" w:cs="微软雅黑"/>
          <w:b/>
          <w:bCs/>
        </w:rPr>
      </w:pP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 xml:space="preserve">● 环境温度温度小于 </w:t>
      </w: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>37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>℃。</w:t>
      </w:r>
    </w:p>
    <w:p w14:paraId="4ED6D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0"/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Style w:val="10"/>
          <w:rFonts w:hint="eastAsia" w:ascii="微软雅黑" w:hAnsi="微软雅黑" w:eastAsia="微软雅黑" w:cs="微软雅黑"/>
          <w:b/>
          <w:bCs/>
          <w:sz w:val="28"/>
          <w:szCs w:val="28"/>
        </w:rPr>
        <w:t>保质期</w:t>
      </w:r>
    </w:p>
    <w:p w14:paraId="47EA8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0"/>
          <w:rFonts w:hint="eastAsia" w:ascii="微软雅黑" w:hAnsi="微软雅黑" w:eastAsia="微软雅黑" w:cs="微软雅黑"/>
          <w:b/>
          <w:bCs/>
        </w:rPr>
      </w:pPr>
      <w:r>
        <w:rPr>
          <w:rStyle w:val="13"/>
          <w:rFonts w:hint="eastAsia" w:ascii="微软雅黑" w:hAnsi="微软雅黑" w:eastAsia="微软雅黑" w:cs="微软雅黑"/>
          <w:bCs/>
          <w:lang w:eastAsia="zh-CN"/>
        </w:rPr>
        <w:t xml:space="preserve">  </w:t>
      </w:r>
      <w:bookmarkStart w:id="1" w:name="_GoBack"/>
      <w:bookmarkEnd w:id="1"/>
      <w:r>
        <w:rPr>
          <w:rStyle w:val="11"/>
          <w:rFonts w:hint="eastAsia" w:ascii="微软雅黑" w:hAnsi="微软雅黑" w:eastAsia="微软雅黑" w:cs="微软雅黑"/>
          <w:lang w:val="en-US" w:eastAsia="zh-CN"/>
        </w:rPr>
        <w:t>6</w:t>
      </w:r>
      <w:r>
        <w:rPr>
          <w:rStyle w:val="11"/>
          <w:rFonts w:hint="eastAsia" w:ascii="微软雅黑" w:hAnsi="微软雅黑" w:eastAsia="微软雅黑" w:cs="微软雅黑"/>
        </w:rPr>
        <w:t xml:space="preserve"> </w:t>
      </w:r>
      <w:r>
        <w:rPr>
          <w:rStyle w:val="10"/>
          <w:rFonts w:hint="eastAsia" w:ascii="微软雅黑" w:hAnsi="微软雅黑" w:eastAsia="微软雅黑" w:cs="微软雅黑"/>
        </w:rPr>
        <w:t>个月</w:t>
      </w:r>
      <w:r>
        <w:rPr>
          <w:rStyle w:val="10"/>
          <w:rFonts w:hint="eastAsia" w:ascii="微软雅黑" w:hAnsi="微软雅黑" w:eastAsia="微软雅黑" w:cs="微软雅黑"/>
          <w:lang w:eastAsia="zh-CN"/>
        </w:rPr>
        <w:t xml:space="preserve">     </w:t>
      </w:r>
    </w:p>
    <w:p w14:paraId="5C2FE4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0"/>
          <w:rFonts w:hint="eastAsia" w:ascii="微软雅黑" w:hAnsi="微软雅黑" w:eastAsia="微软雅黑" w:cs="微软雅黑"/>
        </w:rPr>
      </w:pPr>
      <w:r>
        <w:rPr>
          <w:rStyle w:val="10"/>
          <w:rFonts w:hint="eastAsia" w:ascii="微软雅黑" w:hAnsi="微软雅黑" w:eastAsia="微软雅黑" w:cs="微软雅黑"/>
          <w:b/>
          <w:bCs/>
          <w:sz w:val="28"/>
          <w:szCs w:val="28"/>
        </w:rPr>
        <w:t>包装规格</w:t>
      </w:r>
      <w:r>
        <w:rPr>
          <w:rStyle w:val="10"/>
          <w:rFonts w:hint="eastAsia" w:ascii="微软雅黑" w:hAnsi="微软雅黑" w:eastAsia="微软雅黑" w:cs="微软雅黑"/>
        </w:rPr>
        <w:t xml:space="preserve"> </w:t>
      </w:r>
    </w:p>
    <w:p w14:paraId="45B39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0"/>
          <w:rFonts w:hint="eastAsia" w:ascii="微软雅黑" w:hAnsi="微软雅黑" w:eastAsia="微软雅黑" w:cs="微软雅黑"/>
          <w:b/>
          <w:bCs/>
        </w:rPr>
      </w:pPr>
      <w:r>
        <w:rPr>
          <w:rStyle w:val="11"/>
          <w:rFonts w:hint="eastAsia" w:ascii="微软雅黑" w:hAnsi="微软雅黑" w:eastAsia="微软雅黑" w:cs="微软雅黑"/>
        </w:rPr>
        <w:t>20KG/</w:t>
      </w:r>
      <w:r>
        <w:rPr>
          <w:rStyle w:val="10"/>
          <w:rFonts w:hint="eastAsia" w:ascii="微软雅黑" w:hAnsi="微软雅黑" w:eastAsia="微软雅黑" w:cs="微软雅黑"/>
        </w:rPr>
        <w:t xml:space="preserve">桶 </w:t>
      </w:r>
      <w:r>
        <w:rPr>
          <w:rStyle w:val="11"/>
          <w:rFonts w:hint="eastAsia" w:ascii="微软雅黑" w:hAnsi="微软雅黑" w:eastAsia="微软雅黑" w:cs="微软雅黑"/>
        </w:rPr>
        <w:t>200KG/</w:t>
      </w:r>
      <w:r>
        <w:rPr>
          <w:rStyle w:val="10"/>
          <w:rFonts w:hint="eastAsia" w:ascii="微软雅黑" w:hAnsi="微软雅黑" w:eastAsia="微软雅黑" w:cs="微软雅黑"/>
        </w:rPr>
        <w:t>桶</w:t>
      </w:r>
    </w:p>
    <w:p w14:paraId="119DEB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微软雅黑" w:hAnsi="微软雅黑" w:eastAsia="微软雅黑" w:cs="微软雅黑"/>
          <w:b/>
          <w:bCs/>
          <w:sz w:val="32"/>
          <w:szCs w:val="28"/>
          <w:lang w:bidi="en-US"/>
        </w:rPr>
      </w:pPr>
    </w:p>
    <w:p w14:paraId="5C461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0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0"/>
          <w:rFonts w:hint="eastAsia" w:ascii="微软雅黑" w:hAnsi="微软雅黑" w:eastAsia="微软雅黑" w:cs="微软雅黑"/>
          <w:b/>
          <w:bCs/>
          <w:sz w:val="28"/>
          <w:szCs w:val="28"/>
        </w:rPr>
        <w:t>注意事项</w:t>
      </w:r>
    </w:p>
    <w:p w14:paraId="61A820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0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>1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 xml:space="preserve">．取 </w:t>
      </w: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>A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 xml:space="preserve">、 </w:t>
      </w: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 xml:space="preserve">B 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>剂的工具要区分开来或使用前擦拭干净，避免两者混合造成局部结块而不能正常使用。</w:t>
      </w:r>
    </w:p>
    <w:p w14:paraId="4007D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0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>2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 xml:space="preserve">． </w:t>
      </w: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>25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 xml:space="preserve">℃条件下， </w:t>
      </w: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 xml:space="preserve">A/B 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 xml:space="preserve">充分混合后安全存放期为 </w:t>
      </w: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 xml:space="preserve">3 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>天，温度越高，存放时间越短。</w:t>
      </w:r>
    </w:p>
    <w:p w14:paraId="28FE8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0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>3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 xml:space="preserve">．使用时，避免胶料与含有 </w:t>
      </w: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>N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 xml:space="preserve">、 </w:t>
      </w: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>S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 xml:space="preserve">、 </w:t>
      </w: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 xml:space="preserve">P 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 xml:space="preserve">和 </w:t>
      </w: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 xml:space="preserve">Sn 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>等元素化合物接触，否则会引起不硫化或者硫化不完全。</w:t>
      </w:r>
    </w:p>
    <w:p w14:paraId="796B08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0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>4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 xml:space="preserve">．产品 </w:t>
      </w: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 xml:space="preserve">A/B=1:1 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>为最佳使用比例，比例过大或者过小都会影响产品最终性能。</w:t>
      </w:r>
    </w:p>
    <w:p w14:paraId="04FD8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0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>5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 xml:space="preserve">．需复合的 </w:t>
      </w: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>P</w:t>
      </w:r>
      <w:r>
        <w:rPr>
          <w:rStyle w:val="11"/>
          <w:rFonts w:hint="eastAsia" w:ascii="微软雅黑" w:hAnsi="微软雅黑" w:eastAsia="微软雅黑" w:cs="微软雅黑"/>
          <w:sz w:val="21"/>
          <w:szCs w:val="21"/>
          <w:lang w:val="en-US" w:eastAsia="zh-CN"/>
        </w:rPr>
        <w:t>C+纤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>等塑料素材在使用前最好用白电油擦拭干净，以免影响粘接强度。</w:t>
      </w:r>
    </w:p>
    <w:p w14:paraId="6C0A5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0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>6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 xml:space="preserve">．产品成型后于 </w:t>
      </w: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>100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 xml:space="preserve">℃二段硫化 </w:t>
      </w: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 xml:space="preserve">60 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>分钟以上粘接效果更佳。</w:t>
      </w:r>
    </w:p>
    <w:p w14:paraId="18BA6B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0"/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 w14:paraId="546C899B">
      <w:pPr>
        <w:autoSpaceDN w:val="0"/>
        <w:snapToGrid w:val="0"/>
        <w:spacing w:line="400" w:lineRule="exact"/>
        <w:jc w:val="left"/>
        <w:rPr>
          <w:rStyle w:val="10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0"/>
          <w:rFonts w:hint="eastAsia" w:ascii="微软雅黑" w:hAnsi="微软雅黑" w:eastAsia="微软雅黑" w:cs="微软雅黑"/>
          <w:b/>
          <w:bCs/>
          <w:sz w:val="28"/>
          <w:szCs w:val="28"/>
        </w:rPr>
        <w:t>安全</w:t>
      </w:r>
    </w:p>
    <w:p w14:paraId="3C29B6E1">
      <w:pPr>
        <w:autoSpaceDN w:val="0"/>
        <w:snapToGrid w:val="0"/>
        <w:spacing w:line="400" w:lineRule="exact"/>
        <w:jc w:val="left"/>
        <w:rPr>
          <w:rStyle w:val="10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 xml:space="preserve">1. 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>产品应用时注意劳保穿戴，避免施工过程中烫伤，禁止食用。</w:t>
      </w:r>
    </w:p>
    <w:p w14:paraId="46C496D2">
      <w:pPr>
        <w:autoSpaceDN w:val="0"/>
        <w:snapToGrid w:val="0"/>
        <w:spacing w:line="400" w:lineRule="exact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</w:pP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 xml:space="preserve">2. 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 xml:space="preserve">小心使用本品，使用前和使用时请注意安全事项。此外，还应遵循有关国家或当地政府规定的安全法规。（详细安全指引参阅相应 </w:t>
      </w:r>
      <w:r>
        <w:rPr>
          <w:rStyle w:val="11"/>
          <w:rFonts w:hint="eastAsia" w:ascii="微软雅黑" w:hAnsi="微软雅黑" w:eastAsia="微软雅黑" w:cs="微软雅黑"/>
          <w:sz w:val="21"/>
          <w:szCs w:val="21"/>
        </w:rPr>
        <w:t>MSDS</w:t>
      </w:r>
      <w:r>
        <w:rPr>
          <w:rStyle w:val="10"/>
          <w:rFonts w:hint="eastAsia" w:ascii="微软雅黑" w:hAnsi="微软雅黑" w:eastAsia="微软雅黑" w:cs="微软雅黑"/>
          <w:sz w:val="21"/>
          <w:szCs w:val="21"/>
        </w:rPr>
        <w:t>）。</w:t>
      </w:r>
    </w:p>
    <w:p w14:paraId="27947D7F">
      <w:pPr>
        <w:pStyle w:val="12"/>
        <w:keepNext w:val="0"/>
        <w:keepLines w:val="0"/>
        <w:pageBreakBefore w:val="0"/>
        <w:widowControl w:val="0"/>
        <w:tabs>
          <w:tab w:val="left" w:pos="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5" w:line="380" w:lineRule="exact"/>
        <w:ind w:left="0" w:leftChars="0" w:firstLine="0" w:firstLineChars="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</w:p>
    <w:p w14:paraId="3060B41A">
      <w:pPr>
        <w:spacing w:line="358" w:lineRule="auto"/>
        <w:rPr>
          <w:rFonts w:hint="eastAsia" w:ascii="微软雅黑" w:hAnsi="微软雅黑" w:eastAsia="微软雅黑" w:cs="微软雅黑"/>
          <w:sz w:val="21"/>
        </w:rPr>
      </w:pPr>
    </w:p>
    <w:p w14:paraId="6E32344F">
      <w:pPr>
        <w:autoSpaceDN w:val="0"/>
        <w:snapToGrid w:val="0"/>
        <w:spacing w:line="400" w:lineRule="exact"/>
        <w:ind w:left="150" w:firstLine="30"/>
        <w:jc w:val="left"/>
        <w:rPr>
          <w:rFonts w:hint="eastAsia" w:ascii="微软雅黑" w:hAnsi="微软雅黑" w:eastAsia="微软雅黑" w:cs="微软雅黑"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779" w:right="1406" w:bottom="312" w:left="10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PKPFI+Arial,Bol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AD9A0">
    <w:pPr>
      <w:pStyle w:val="4"/>
    </w:pPr>
    <w:r>
      <w:rPr>
        <w:rFonts w:hint="eastAsia" w:ascii="Arial" w:eastAsia="宋体"/>
        <w:sz w:val="21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-78740</wp:posOffset>
          </wp:positionH>
          <wp:positionV relativeFrom="paragraph">
            <wp:posOffset>-100330</wp:posOffset>
          </wp:positionV>
          <wp:extent cx="6494780" cy="804545"/>
          <wp:effectExtent l="0" t="0" r="1270" b="14605"/>
          <wp:wrapNone/>
          <wp:docPr id="3" name="图片 3" descr="TDS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TDS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4780" cy="804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14407">
    <w:pPr>
      <w:spacing w:line="14" w:lineRule="auto"/>
    </w:pPr>
  </w:p>
  <w:p w14:paraId="3712B0FB"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2C60F"/>
    <w:multiLevelType w:val="singleLevel"/>
    <w:tmpl w:val="BBF2C60F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910ADC"/>
    <w:multiLevelType w:val="singleLevel"/>
    <w:tmpl w:val="5A910AD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ZjUwYjI1YjYwNmYxZDQ1NjU3MTg1Yzc3OGE5ZDgifQ=="/>
  </w:docVars>
  <w:rsids>
    <w:rsidRoot w:val="00172A27"/>
    <w:rsid w:val="0060252E"/>
    <w:rsid w:val="00B43C2B"/>
    <w:rsid w:val="00D07D78"/>
    <w:rsid w:val="067D26D4"/>
    <w:rsid w:val="08360008"/>
    <w:rsid w:val="09432607"/>
    <w:rsid w:val="09D63EB0"/>
    <w:rsid w:val="0BD107F3"/>
    <w:rsid w:val="0CF550D2"/>
    <w:rsid w:val="0D710DD3"/>
    <w:rsid w:val="0EFF5127"/>
    <w:rsid w:val="0FF90BC3"/>
    <w:rsid w:val="10B87CFC"/>
    <w:rsid w:val="116F12D7"/>
    <w:rsid w:val="11C101AE"/>
    <w:rsid w:val="13E111A4"/>
    <w:rsid w:val="1A5D684E"/>
    <w:rsid w:val="1F5553D6"/>
    <w:rsid w:val="21744670"/>
    <w:rsid w:val="258B7CFD"/>
    <w:rsid w:val="2DED0100"/>
    <w:rsid w:val="321A74F4"/>
    <w:rsid w:val="33055644"/>
    <w:rsid w:val="330A6248"/>
    <w:rsid w:val="345F7825"/>
    <w:rsid w:val="349A34DB"/>
    <w:rsid w:val="365118F2"/>
    <w:rsid w:val="37103EE5"/>
    <w:rsid w:val="39BD6FC6"/>
    <w:rsid w:val="3A9E53BA"/>
    <w:rsid w:val="3BD244B2"/>
    <w:rsid w:val="3EFB33C5"/>
    <w:rsid w:val="3F5F7F07"/>
    <w:rsid w:val="3FE326DE"/>
    <w:rsid w:val="4555504E"/>
    <w:rsid w:val="458B6608"/>
    <w:rsid w:val="486C7095"/>
    <w:rsid w:val="4CCA6959"/>
    <w:rsid w:val="4D863560"/>
    <w:rsid w:val="4E614CA7"/>
    <w:rsid w:val="4E79234E"/>
    <w:rsid w:val="51203526"/>
    <w:rsid w:val="52B465D5"/>
    <w:rsid w:val="53274D32"/>
    <w:rsid w:val="541F3791"/>
    <w:rsid w:val="593276E3"/>
    <w:rsid w:val="599E4814"/>
    <w:rsid w:val="5A4A3216"/>
    <w:rsid w:val="5AE4292D"/>
    <w:rsid w:val="5EAB19DE"/>
    <w:rsid w:val="5F933EDA"/>
    <w:rsid w:val="6458542D"/>
    <w:rsid w:val="64C55A61"/>
    <w:rsid w:val="653B6D24"/>
    <w:rsid w:val="673C1CED"/>
    <w:rsid w:val="67BC5ABE"/>
    <w:rsid w:val="67F33A1A"/>
    <w:rsid w:val="68BF16C9"/>
    <w:rsid w:val="6BEF59E1"/>
    <w:rsid w:val="6CB37B57"/>
    <w:rsid w:val="6CF16E09"/>
    <w:rsid w:val="6E372E5F"/>
    <w:rsid w:val="6EDC35ED"/>
    <w:rsid w:val="709714C3"/>
    <w:rsid w:val="74B62489"/>
    <w:rsid w:val="74B7598C"/>
    <w:rsid w:val="76F6623C"/>
    <w:rsid w:val="795D6B71"/>
    <w:rsid w:val="7A905722"/>
    <w:rsid w:val="7D040A2A"/>
    <w:rsid w:val="7E5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6960"/>
      </w:tabs>
      <w:outlineLvl w:val="1"/>
    </w:pPr>
    <w:rPr>
      <w:rFonts w:ascii="Courier New" w:hAnsi="Courier New" w:eastAsia="PMingLiU"/>
      <w:b/>
      <w:sz w:val="24"/>
      <w:szCs w:val="20"/>
      <w:lang w:eastAsia="zh-TW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left="480"/>
      <w:jc w:val="left"/>
    </w:pPr>
    <w:rPr>
      <w:rFonts w:eastAsia="PMingLiU"/>
      <w:sz w:val="24"/>
      <w:szCs w:val="20"/>
      <w:lang w:eastAsia="zh-TW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CPKPFI+Arial,Bold" w:hAnsi="Times New Roman" w:eastAsia="CPKPFI+Arial,Bold" w:cs="CPKPFI+Arial,Bold"/>
      <w:color w:val="000000"/>
      <w:sz w:val="24"/>
      <w:szCs w:val="24"/>
      <w:lang w:val="en-US" w:eastAsia="zh-CN" w:bidi="ar-SA"/>
    </w:rPr>
  </w:style>
  <w:style w:type="character" w:customStyle="1" w:styleId="10">
    <w:name w:val="fontstyle01"/>
    <w:basedOn w:val="8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1">
    <w:name w:val="fontstyle21"/>
    <w:basedOn w:val="8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paragraph" w:styleId="12">
    <w:name w:val="List Paragraph"/>
    <w:basedOn w:val="1"/>
    <w:qFormat/>
    <w:uiPriority w:val="1"/>
    <w:pPr>
      <w:ind w:left="576" w:hanging="425"/>
    </w:pPr>
    <w:rPr>
      <w:rFonts w:ascii="楷体" w:hAnsi="楷体" w:eastAsia="楷体" w:cs="楷体"/>
      <w:lang w:eastAsia="en-US" w:bidi="en-US"/>
    </w:rPr>
  </w:style>
  <w:style w:type="character" w:customStyle="1" w:styleId="13">
    <w:name w:val="fontstyle31"/>
    <w:basedOn w:val="8"/>
    <w:qFormat/>
    <w:uiPriority w:val="0"/>
    <w:rPr>
      <w:rFonts w:ascii="TimesNewRomanPS-BoldMT" w:hAnsi="TimesNewRomanPS-BoldMT" w:eastAsia="TimesNewRomanPS-BoldMT" w:cs="TimesNewRomanPS-BoldMT"/>
      <w:b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694</Words>
  <Characters>824</Characters>
  <Lines>3</Lines>
  <Paragraphs>1</Paragraphs>
  <TotalTime>0</TotalTime>
  <ScaleCrop>false</ScaleCrop>
  <LinksUpToDate>false</LinksUpToDate>
  <CharactersWithSpaces>879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2021-07-18T12:43:00Z</dcterms:created>
  <dc:creator>xjghost</dc:creator>
  <cp:lastModifiedBy>力达创新QantaGroup</cp:lastModifiedBy>
  <cp:lastPrinted>2014-03-31T02:06:00Z</cp:lastPrinted>
  <dcterms:modified xsi:type="dcterms:W3CDTF">2025-01-08T10:18:35Z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BED73F5CD8024DADA2B2F5E36F8D0E9C</vt:lpwstr>
  </property>
  <property fmtid="{D5CDD505-2E9C-101B-9397-08002B2CF9AE}" pid="4" name="KSOTemplateDocerSaveRecord">
    <vt:lpwstr>eyJoZGlkIjoiN2NkNmZhOTRhMDA1MGM2MTViZWE5NzE0MDJlNjU5YmUiLCJ1c2VySWQiOiIzODM0NjY1MTMifQ==</vt:lpwstr>
  </property>
</Properties>
</file>