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39" w:after="0" w:line="240" w:lineRule="auto"/>
        <w:ind w:left="300" w:leftChars="0" w:right="140" w:hanging="300" w:hangingChars="83"/>
        <w:jc w:val="center"/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RTV2 电子灌封、密封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胶</w:t>
      </w: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MR234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9</w:t>
      </w: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AB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MR2349AB有机硅导热灌封胶是一种室温/加温固化的加成型有机硅材料。这种双组分弹性硅胶设计用于灌封、保护处在严苛条件下的电子产品。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MR2349AB有机硅导热灌封胶使用了新型技术，无需加热就能很好地固化。以 1:1（重量比或体积比）彻底混和 A 组分和 B 组分后，产品在一定时间内固化，形成弹性缓冲材料。固化后的弹性体具有以下特性：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抵抗湿气、污物和其它大气组分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减轻机械、热冲击和震动引起的机械应力和张力 容易修补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高频电气性能好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无溶剂，无固化副产物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在-50-250℃间稳定的机械和电气性能优异的阻燃性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常规性能：</w:t>
      </w:r>
    </w:p>
    <w:tbl>
      <w:tblPr>
        <w:tblStyle w:val="8"/>
        <w:tblW w:w="0" w:type="auto"/>
        <w:tblInd w:w="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054"/>
        <w:gridCol w:w="1880"/>
        <w:gridCol w:w="204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32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2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测试项目</w:t>
            </w:r>
          </w:p>
        </w:tc>
        <w:tc>
          <w:tcPr>
            <w:tcW w:w="2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测试标准</w:t>
            </w:r>
          </w:p>
        </w:tc>
        <w:tc>
          <w:tcPr>
            <w:tcW w:w="1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单位</w:t>
            </w:r>
          </w:p>
        </w:tc>
        <w:tc>
          <w:tcPr>
            <w:tcW w:w="20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A组分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B组分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外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ab/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观</w:t>
            </w:r>
          </w:p>
        </w:tc>
        <w:tc>
          <w:tcPr>
            <w:tcW w:w="2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目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ab/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测</w:t>
            </w:r>
          </w:p>
        </w:tc>
        <w:tc>
          <w:tcPr>
            <w:tcW w:w="1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---</w:t>
            </w:r>
          </w:p>
        </w:tc>
        <w:tc>
          <w:tcPr>
            <w:tcW w:w="20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黑色粘稠液体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白色粘稠液体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粘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ab/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度</w:t>
            </w:r>
          </w:p>
        </w:tc>
        <w:tc>
          <w:tcPr>
            <w:tcW w:w="2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10247-2008</w:t>
            </w:r>
          </w:p>
        </w:tc>
        <w:tc>
          <w:tcPr>
            <w:tcW w:w="1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mPa·s（25℃）</w:t>
            </w:r>
          </w:p>
        </w:tc>
        <w:tc>
          <w:tcPr>
            <w:tcW w:w="20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4500±600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3500±600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密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ab/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度</w:t>
            </w:r>
          </w:p>
        </w:tc>
        <w:tc>
          <w:tcPr>
            <w:tcW w:w="2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13354-92</w:t>
            </w:r>
          </w:p>
        </w:tc>
        <w:tc>
          <w:tcPr>
            <w:tcW w:w="18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g/cm</w:t>
            </w:r>
            <w:r>
              <w:rPr>
                <w:rFonts w:hint="eastAsia" w:ascii="楷体" w:hAnsi="楷体" w:eastAsia="楷体" w:cs="楷体"/>
                <w:w w:val="95"/>
                <w:sz w:val="21"/>
                <w:vertAlign w:val="superscript"/>
              </w:rPr>
              <w:t>3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（25℃）</w:t>
            </w:r>
          </w:p>
        </w:tc>
        <w:tc>
          <w:tcPr>
            <w:tcW w:w="20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1.50±0.05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1.50±0.05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操作工艺：</w:t>
      </w:r>
    </w:p>
    <w:tbl>
      <w:tblPr>
        <w:tblStyle w:val="8"/>
        <w:tblW w:w="0" w:type="auto"/>
        <w:tblInd w:w="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37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项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ab/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目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单位或条件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混合比例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重量比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100：100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混合比例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体积比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100：100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混合粘度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mPa·s（25℃）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4000±1000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混合密度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g/cm</w:t>
            </w:r>
            <w:r>
              <w:rPr>
                <w:rFonts w:hint="eastAsia" w:ascii="楷体" w:hAnsi="楷体" w:eastAsia="楷体" w:cs="楷体"/>
                <w:w w:val="95"/>
                <w:sz w:val="21"/>
                <w:vertAlign w:val="superscript"/>
              </w:rPr>
              <w:t>3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t>（25℃）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1.50±0.05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操作时间（1）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min（25℃）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55±10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固化时间</w:t>
            </w:r>
          </w:p>
        </w:tc>
        <w:tc>
          <w:tcPr>
            <w:tcW w:w="237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℃/hr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80/0.5或25/10</w:t>
            </w:r>
          </w:p>
        </w:tc>
      </w:tr>
    </w:tbl>
    <w:p>
      <w:pPr>
        <w:pStyle w:val="4"/>
        <w:ind w:left="48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（1）操作时间是以配胶量100g来测试的。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将 A、B 两组分按比例取出配比、搅拌混合均匀，抽真空去除气泡，在操作期内浇注到需灌封产品上，如灌封产品太大，建议分次灌封，然后根据（80℃/30min 或 25℃/10hr）固化即可。</w:t>
      </w:r>
    </w:p>
    <w:p>
      <w:pPr>
        <w:pStyle w:val="4"/>
        <w:spacing w:before="11"/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操作注意事项：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2" w:leftChars="0" w:right="-122" w:rightChars="-58" w:firstLine="58" w:firstLineChars="28"/>
        <w:jc w:val="left"/>
        <w:textAlignment w:val="auto"/>
        <w:rPr>
          <w:rFonts w:hint="eastAsia" w:ascii="楷体" w:hAnsi="楷体" w:eastAsia="楷体" w:cs="楷体"/>
          <w:sz w:val="21"/>
        </w:rPr>
      </w:pPr>
      <w:r>
        <w:rPr>
          <w:rFonts w:hint="eastAsia" w:ascii="楷体" w:hAnsi="楷体" w:eastAsia="楷体" w:cs="楷体"/>
          <w:sz w:val="21"/>
        </w:rPr>
        <w:t>·胶料放置时间过长，会产生沉淀，建议在取用前请先将 A、B 组分各自搅拌均匀，取用后应注意密封保存。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691" w:leftChars="229" w:right="0" w:rightChars="0" w:hanging="210" w:hangingChars="100"/>
        <w:jc w:val="left"/>
        <w:textAlignment w:val="auto"/>
        <w:rPr>
          <w:rFonts w:hint="eastAsia" w:ascii="楷体" w:hAnsi="楷体" w:eastAsia="楷体" w:cs="楷体"/>
          <w:sz w:val="21"/>
        </w:rPr>
      </w:pPr>
      <w:r>
        <w:rPr>
          <w:rFonts w:hint="eastAsia" w:ascii="楷体" w:hAnsi="楷体" w:eastAsia="楷体" w:cs="楷体"/>
          <w:sz w:val="21"/>
        </w:rPr>
        <w:t>·搅拌时应注意同方向搅拌，否则会混入过多的气泡；容器边框和底部的胶料也应搅拌均匀，否则会出现由搅拌不均而引起局部不固化现象。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82" w:leftChars="0" w:right="0" w:rightChars="0"/>
        <w:jc w:val="left"/>
        <w:textAlignment w:val="auto"/>
        <w:rPr>
          <w:rFonts w:hint="eastAsia" w:ascii="楷体" w:hAnsi="楷体" w:eastAsia="楷体" w:cs="楷体"/>
          <w:sz w:val="21"/>
        </w:rPr>
      </w:pPr>
      <w:r>
        <w:rPr>
          <w:rFonts w:hint="eastAsia" w:ascii="楷体" w:hAnsi="楷体" w:eastAsia="楷体" w:cs="楷体"/>
          <w:sz w:val="21"/>
        </w:rPr>
        <w:t>·浇注到产品上再次抽真空去除气泡，可提高固化后产品的综合性能。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82" w:leftChars="0" w:right="0" w:rightChars="0"/>
        <w:jc w:val="left"/>
        <w:textAlignment w:val="auto"/>
        <w:rPr>
          <w:rFonts w:hint="eastAsia" w:ascii="楷体" w:hAnsi="楷体" w:eastAsia="楷体" w:cs="楷体"/>
          <w:sz w:val="21"/>
        </w:rPr>
      </w:pPr>
      <w:r>
        <w:rPr>
          <w:rFonts w:hint="eastAsia" w:ascii="楷体" w:hAnsi="楷体" w:eastAsia="楷体" w:cs="楷体"/>
          <w:sz w:val="21"/>
        </w:rPr>
        <w:t>·温度过低会导致固化速度偏慢，建议加热固化。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691" w:leftChars="229" w:right="0" w:rightChars="0" w:hanging="210" w:hangingChars="100"/>
        <w:jc w:val="left"/>
        <w:textAlignment w:val="auto"/>
        <w:rPr>
          <w:rFonts w:hint="eastAsia" w:ascii="楷体" w:hAnsi="楷体" w:eastAsia="楷体" w:cs="楷体"/>
          <w:kern w:val="2"/>
          <w:sz w:val="21"/>
          <w:szCs w:val="24"/>
          <w:lang w:val="zh-CN" w:eastAsia="zh-CN" w:bidi="zh-CN"/>
        </w:rPr>
      </w:pPr>
      <w:r>
        <w:rPr>
          <w:rFonts w:hint="eastAsia" w:ascii="楷体" w:hAnsi="楷体" w:eastAsia="楷体" w:cs="楷体"/>
          <w:sz w:val="21"/>
        </w:rPr>
        <w:t>·</w:t>
      </w: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MR2349AB</w:t>
      </w:r>
      <w:r>
        <w:rPr>
          <w:rFonts w:hint="eastAsia" w:ascii="楷体" w:hAnsi="楷体" w:eastAsia="楷体" w:cs="楷体"/>
          <w:kern w:val="2"/>
          <w:sz w:val="21"/>
          <w:szCs w:val="24"/>
          <w:lang w:val="zh-CN" w:eastAsia="zh-CN" w:bidi="zh-CN"/>
        </w:rPr>
        <w:t>与含锡、硫、胺等材料接触会难固化或不固化。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典型性能：</w:t>
      </w:r>
    </w:p>
    <w:tbl>
      <w:tblPr>
        <w:tblStyle w:val="8"/>
        <w:tblW w:w="0" w:type="auto"/>
        <w:tblInd w:w="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319"/>
        <w:gridCol w:w="2204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项目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测试标准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单位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硬度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531.1-2008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Shore A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55±5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导热系数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10297-1998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W/mK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0.6-0.8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膨胀系数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20673-2006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μm/（m，℃）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吸水率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8810-2005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 xml:space="preserve">24h，25℃， </w:t>
            </w:r>
            <w:r>
              <w:rPr>
                <w:rFonts w:hint="eastAsia" w:ascii="楷体" w:hAnsi="楷体" w:eastAsia="楷体" w:cs="楷体"/>
                <w:w w:val="95"/>
                <w:sz w:val="21"/>
              </w:rPr>
              <w:drawing>
                <wp:inline distT="0" distB="0" distL="0" distR="0">
                  <wp:extent cx="59690" cy="104140"/>
                  <wp:effectExtent l="0" t="0" r="16510" b="1016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" cy="10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0.01-0.02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阻燃等级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UL-94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3mm厚，105℃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V-0（E315820）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介电强度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1695-2005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kV/mm（25℃）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&gt;20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损耗因素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1693-2007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（1MHz）(25℃)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介电常数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1693-2007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（1MHz）(25℃)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体积电阻</w:t>
            </w:r>
          </w:p>
        </w:tc>
        <w:tc>
          <w:tcPr>
            <w:tcW w:w="231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GB/T 1692-2008</w:t>
            </w:r>
          </w:p>
        </w:tc>
        <w:tc>
          <w:tcPr>
            <w:tcW w:w="220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（DC500V）Ω· cm</w:t>
            </w:r>
          </w:p>
        </w:tc>
        <w:tc>
          <w:tcPr>
            <w:tcW w:w="200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w w:val="95"/>
                <w:sz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</w:rPr>
              <w:t>1.0×10</w:t>
            </w:r>
            <w:r>
              <w:rPr>
                <w:rFonts w:hint="eastAsia" w:ascii="楷体" w:hAnsi="楷体" w:eastAsia="楷体" w:cs="楷体"/>
                <w:w w:val="95"/>
                <w:sz w:val="21"/>
                <w:vertAlign w:val="superscript"/>
              </w:rPr>
              <w:t>15</w:t>
            </w:r>
          </w:p>
        </w:tc>
      </w:tr>
    </w:tbl>
    <w:p>
      <w:pPr>
        <w:pStyle w:val="4"/>
        <w:ind w:left="58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注：以上所有数据都在胶 25℃、55%RH 条件下固化 7 天后测定所得。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包装规格:</w:t>
      </w:r>
    </w:p>
    <w:p>
      <w:pPr>
        <w:numPr>
          <w:ilvl w:val="0"/>
          <w:numId w:val="0"/>
        </w:numPr>
        <w:tabs>
          <w:tab w:val="left" w:pos="446"/>
        </w:tabs>
        <w:spacing w:line="240" w:lineRule="atLeast"/>
        <w:ind w:left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A 组分：10kg/桶；B 组分：10kg/桶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储存及运输:</w:t>
      </w:r>
    </w:p>
    <w:p>
      <w:pPr>
        <w:numPr>
          <w:ilvl w:val="0"/>
          <w:numId w:val="1"/>
        </w:numPr>
        <w:tabs>
          <w:tab w:val="left" w:pos="446"/>
        </w:tabs>
        <w:spacing w:line="240" w:lineRule="atLeast"/>
        <w:ind w:left="420" w:leftChars="200" w:firstLine="0" w:firstLineChars="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A、B 组分需避光、避热、密封保存（可作为非危险品运输及保存）；</w:t>
      </w:r>
    </w:p>
    <w:p>
      <w:pPr>
        <w:numPr>
          <w:ilvl w:val="0"/>
          <w:numId w:val="1"/>
        </w:numPr>
        <w:tabs>
          <w:tab w:val="left" w:pos="446"/>
        </w:tabs>
        <w:spacing w:line="240" w:lineRule="atLeast"/>
        <w:ind w:left="420" w:leftChars="200" w:firstLine="0" w:firstLineChars="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储存期 2 年（25℃）。</w:t>
      </w:r>
    </w:p>
    <w:p>
      <w:pPr>
        <w:widowControl w:val="0"/>
        <w:numPr>
          <w:ilvl w:val="0"/>
          <w:numId w:val="0"/>
        </w:numPr>
        <w:spacing w:line="240" w:lineRule="atLeast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A0E30"/>
    <w:multiLevelType w:val="singleLevel"/>
    <w:tmpl w:val="92CA0E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119E09BA"/>
    <w:rsid w:val="12375AF2"/>
    <w:rsid w:val="146E0D83"/>
    <w:rsid w:val="154A5309"/>
    <w:rsid w:val="15B34434"/>
    <w:rsid w:val="15CA57E6"/>
    <w:rsid w:val="169F4C69"/>
    <w:rsid w:val="1BF34B5D"/>
    <w:rsid w:val="1C88427E"/>
    <w:rsid w:val="212857BF"/>
    <w:rsid w:val="265C5500"/>
    <w:rsid w:val="2B6062F1"/>
    <w:rsid w:val="2C3350AB"/>
    <w:rsid w:val="2D384E35"/>
    <w:rsid w:val="33D10631"/>
    <w:rsid w:val="38C2493F"/>
    <w:rsid w:val="395D4AF3"/>
    <w:rsid w:val="3C7578B4"/>
    <w:rsid w:val="3D640B09"/>
    <w:rsid w:val="3EA95581"/>
    <w:rsid w:val="3EAA66BB"/>
    <w:rsid w:val="42ED2B20"/>
    <w:rsid w:val="460279A2"/>
    <w:rsid w:val="478143C2"/>
    <w:rsid w:val="47BC5D12"/>
    <w:rsid w:val="4A352382"/>
    <w:rsid w:val="4AED7749"/>
    <w:rsid w:val="4DCE2EDB"/>
    <w:rsid w:val="55F54066"/>
    <w:rsid w:val="56FF0DED"/>
    <w:rsid w:val="5C33548E"/>
    <w:rsid w:val="616E6AF6"/>
    <w:rsid w:val="64C8306C"/>
    <w:rsid w:val="68E6170E"/>
    <w:rsid w:val="74A71DAA"/>
    <w:rsid w:val="75BD10FC"/>
    <w:rsid w:val="763A0A29"/>
    <w:rsid w:val="79822A33"/>
    <w:rsid w:val="7C88652A"/>
    <w:rsid w:val="7C940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1</TotalTime>
  <ScaleCrop>false</ScaleCrop>
  <LinksUpToDate>false</LinksUpToDate>
  <CharactersWithSpaces>529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2020-06-24T04:02:47Z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