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tLeast"/>
        <w:jc w:val="center"/>
        <w:rPr>
          <w:rFonts w:hint="default" w:ascii="Times New Roman" w:hAnsi="楷体" w:eastAsia="宋体" w:cs="楷体"/>
          <w:b/>
          <w:bCs/>
          <w:kern w:val="0"/>
          <w:sz w:val="36"/>
          <w:szCs w:val="22"/>
          <w:lang w:val="en-US" w:eastAsia="zh-CN" w:bidi="zh-CN"/>
        </w:rPr>
      </w:pPr>
      <w:r>
        <w:rPr>
          <w:rFonts w:hint="eastAsia" w:hAnsi="楷体" w:cs="楷体"/>
          <w:b/>
          <w:bCs/>
          <w:kern w:val="0"/>
          <w:sz w:val="36"/>
          <w:szCs w:val="22"/>
          <w:lang w:val="en-US" w:eastAsia="zh-CN" w:bidi="zh-CN"/>
        </w:rPr>
        <w:t>高拉型气相胶MD1000SC</w:t>
      </w:r>
    </w:p>
    <w:p>
      <w:pPr>
        <w:widowControl/>
        <w:autoSpaceDE/>
        <w:autoSpaceDN/>
        <w:spacing w:before="39" w:after="0" w:line="240" w:lineRule="auto"/>
        <w:ind w:left="200" w:leftChars="0" w:right="140" w:hanging="200" w:hangingChars="83"/>
        <w:jc w:val="left"/>
        <w:rPr>
          <w:rFonts w:hint="default" w:ascii="楷体" w:hAnsi="楷体" w:eastAsia="楷体" w:cs="楷体"/>
          <w:b/>
          <w:bCs/>
          <w:kern w:val="0"/>
          <w:sz w:val="24"/>
          <w:szCs w:val="22"/>
          <w:lang w:val="en-US" w:eastAsia="zh-CN" w:bidi="en-US"/>
        </w:rPr>
      </w:pPr>
      <w:r>
        <w:rPr>
          <w:rFonts w:hint="eastAsia" w:ascii="楷体" w:hAnsi="楷体" w:eastAsia="楷体" w:cs="楷体"/>
          <w:b/>
          <w:bCs/>
          <w:kern w:val="0"/>
          <w:sz w:val="24"/>
          <w:szCs w:val="22"/>
          <w:lang w:val="en-US" w:eastAsia="zh-CN" w:bidi="en-US"/>
        </w:rPr>
        <w:t>产品概述:</w:t>
      </w:r>
    </w:p>
    <w:p>
      <w:pPr>
        <w:spacing w:line="240" w:lineRule="atLeast"/>
        <w:ind w:left="0" w:leftChars="0" w:firstLine="420" w:firstLineChars="200"/>
        <w:rPr>
          <w:rFonts w:hint="eastAsia" w:ascii="楷体" w:hAnsi="楷体" w:eastAsia="楷体" w:cs="楷体"/>
          <w:kern w:val="0"/>
          <w:sz w:val="21"/>
          <w:szCs w:val="21"/>
          <w:lang w:val="en-US" w:eastAsia="zh-CN"/>
        </w:rPr>
      </w:pPr>
      <w:r>
        <w:rPr>
          <w:rFonts w:hint="eastAsia" w:ascii="楷体" w:hAnsi="楷体" w:eastAsia="楷体" w:cs="楷体"/>
          <w:kern w:val="0"/>
          <w:sz w:val="21"/>
          <w:szCs w:val="21"/>
          <w:lang w:val="en-US" w:eastAsia="zh-CN"/>
        </w:rPr>
        <w:t>本产品是气相法硅胶，具透明度高、弹性好、加工性好等特点。适用于透明、抗拉、抗斯要求高的产品。</w:t>
      </w:r>
    </w:p>
    <w:p>
      <w:pPr>
        <w:widowControl/>
        <w:autoSpaceDE/>
        <w:autoSpaceDN/>
        <w:spacing w:before="39" w:after="0" w:line="240" w:lineRule="auto"/>
        <w:ind w:left="200" w:leftChars="0" w:right="140" w:hanging="200" w:hangingChars="83"/>
        <w:jc w:val="left"/>
        <w:rPr>
          <w:rFonts w:hint="eastAsia" w:ascii="楷体" w:hAnsi="楷体" w:eastAsia="楷体" w:cs="楷体"/>
          <w:b/>
          <w:bCs/>
          <w:kern w:val="0"/>
          <w:sz w:val="24"/>
          <w:szCs w:val="22"/>
          <w:lang w:val="en-US" w:eastAsia="zh-CN" w:bidi="en-US"/>
        </w:rPr>
      </w:pPr>
    </w:p>
    <w:p>
      <w:pPr>
        <w:widowControl/>
        <w:autoSpaceDE/>
        <w:autoSpaceDN/>
        <w:spacing w:before="39" w:after="0" w:line="240" w:lineRule="auto"/>
        <w:ind w:left="200" w:leftChars="0" w:right="140" w:hanging="200" w:hangingChars="83"/>
        <w:jc w:val="left"/>
        <w:rPr>
          <w:rFonts w:hint="eastAsia" w:ascii="楷体" w:hAnsi="楷体" w:eastAsia="楷体" w:cs="楷体"/>
          <w:b/>
          <w:bCs/>
          <w:kern w:val="0"/>
          <w:sz w:val="24"/>
          <w:szCs w:val="22"/>
          <w:lang w:val="en-US" w:eastAsia="zh-CN" w:bidi="en-US"/>
        </w:rPr>
      </w:pPr>
      <w:r>
        <w:rPr>
          <w:rFonts w:hint="eastAsia" w:ascii="楷体" w:hAnsi="楷体" w:eastAsia="楷体" w:cs="楷体"/>
          <w:b/>
          <w:bCs/>
          <w:kern w:val="0"/>
          <w:sz w:val="24"/>
          <w:szCs w:val="22"/>
          <w:lang w:val="en-US" w:eastAsia="zh-CN" w:bidi="en-US"/>
        </w:rPr>
        <w:t>主要指标：</w:t>
      </w:r>
    </w:p>
    <w:tbl>
      <w:tblPr>
        <w:tblStyle w:val="8"/>
        <w:tblW w:w="0" w:type="auto"/>
        <w:tblInd w:w="3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5"/>
        <w:gridCol w:w="1267"/>
        <w:gridCol w:w="1279"/>
        <w:gridCol w:w="1303"/>
        <w:gridCol w:w="1279"/>
        <w:gridCol w:w="1279"/>
        <w:gridCol w:w="1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5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zh-CN" w:eastAsia="zh-CN" w:bidi="zh-CN"/>
              </w:rPr>
              <w:t>指标</w:t>
            </w:r>
          </w:p>
        </w:tc>
        <w:tc>
          <w:tcPr>
            <w:tcW w:w="7767" w:type="dxa"/>
            <w:gridSpan w:val="6"/>
            <w:vAlign w:val="center"/>
          </w:tcPr>
          <w:p>
            <w:pPr>
              <w:spacing w:line="240" w:lineRule="atLeast"/>
              <w:jc w:val="center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zh-CN"/>
              </w:rPr>
              <w:t>高拉型气相胶MD1000SC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2105" w:type="dxa"/>
            <w:vMerge w:val="continue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zh-CN"/>
              </w:rPr>
            </w:pPr>
          </w:p>
        </w:tc>
        <w:tc>
          <w:tcPr>
            <w:tcW w:w="1267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zh-CN"/>
              </w:rPr>
              <w:t>MD1030SC</w:t>
            </w:r>
          </w:p>
        </w:tc>
        <w:tc>
          <w:tcPr>
            <w:tcW w:w="1279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zh-CN"/>
              </w:rPr>
              <w:t>MD1040SC</w:t>
            </w:r>
          </w:p>
        </w:tc>
        <w:tc>
          <w:tcPr>
            <w:tcW w:w="1303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zh-CN"/>
              </w:rPr>
              <w:t>MD1050SC</w:t>
            </w:r>
          </w:p>
        </w:tc>
        <w:tc>
          <w:tcPr>
            <w:tcW w:w="1279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zh-CN"/>
              </w:rPr>
              <w:t>MD1060SC</w:t>
            </w:r>
          </w:p>
        </w:tc>
        <w:tc>
          <w:tcPr>
            <w:tcW w:w="1279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zh-CN"/>
              </w:rPr>
              <w:t>MD1070SC</w:t>
            </w:r>
          </w:p>
        </w:tc>
        <w:tc>
          <w:tcPr>
            <w:tcW w:w="1360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zh-CN"/>
              </w:rPr>
              <w:t>MD1080SC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105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zh-CN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zh-CN" w:eastAsia="zh-CN"/>
              </w:rPr>
              <w:t>外观</w:t>
            </w:r>
          </w:p>
          <w:p>
            <w:pPr>
              <w:spacing w:line="240" w:lineRule="atLeast"/>
              <w:jc w:val="center"/>
              <w:rPr>
                <w:rFonts w:hint="eastAsia" w:ascii="楷体" w:hAnsi="楷体" w:eastAsia="楷体" w:cs="楷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zh-CN" w:eastAsia="zh-CN"/>
              </w:rPr>
              <w:t>Appearance</w:t>
            </w:r>
          </w:p>
        </w:tc>
        <w:tc>
          <w:tcPr>
            <w:tcW w:w="126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zh-CN" w:eastAsia="zh-CN" w:bidi="zh-CN"/>
              </w:rPr>
              <w:t>透明</w:t>
            </w:r>
          </w:p>
        </w:tc>
        <w:tc>
          <w:tcPr>
            <w:tcW w:w="1279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zh-CN" w:eastAsia="zh-CN" w:bidi="zh-CN"/>
              </w:rPr>
              <w:t>透明</w:t>
            </w:r>
          </w:p>
        </w:tc>
        <w:tc>
          <w:tcPr>
            <w:tcW w:w="1303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zh-CN" w:eastAsia="zh-CN" w:bidi="zh-CN"/>
              </w:rPr>
              <w:t>透明</w:t>
            </w:r>
          </w:p>
        </w:tc>
        <w:tc>
          <w:tcPr>
            <w:tcW w:w="1279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zh-CN" w:eastAsia="zh-CN" w:bidi="zh-CN"/>
              </w:rPr>
              <w:t>透明</w:t>
            </w:r>
          </w:p>
        </w:tc>
        <w:tc>
          <w:tcPr>
            <w:tcW w:w="1279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zh-CN" w:eastAsia="zh-CN" w:bidi="zh-CN"/>
              </w:rPr>
              <w:t>透明</w:t>
            </w:r>
          </w:p>
        </w:tc>
        <w:tc>
          <w:tcPr>
            <w:tcW w:w="1360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zh-CN" w:eastAsia="zh-CN" w:bidi="zh-CN"/>
              </w:rPr>
              <w:t>透明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5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zh-CN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zh-CN" w:eastAsia="zh-CN"/>
              </w:rPr>
              <w:t>可塑度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zh-CN" w:eastAsia="zh-CN"/>
              </w:rPr>
              <w:t>Plasticity</w:t>
            </w:r>
          </w:p>
        </w:tc>
        <w:tc>
          <w:tcPr>
            <w:tcW w:w="126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zh-CN" w:eastAsia="zh-CN" w:bidi="zh-CN"/>
              </w:rPr>
              <w:t>150-180</w:t>
            </w:r>
          </w:p>
        </w:tc>
        <w:tc>
          <w:tcPr>
            <w:tcW w:w="1279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zh-CN" w:eastAsia="zh-CN" w:bidi="zh-CN"/>
              </w:rPr>
              <w:t>170-200</w:t>
            </w:r>
          </w:p>
        </w:tc>
        <w:tc>
          <w:tcPr>
            <w:tcW w:w="1303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zh-CN" w:eastAsia="zh-CN" w:bidi="zh-CN"/>
              </w:rPr>
              <w:t>190-220</w:t>
            </w:r>
          </w:p>
        </w:tc>
        <w:tc>
          <w:tcPr>
            <w:tcW w:w="1279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zh-CN" w:eastAsia="zh-CN" w:bidi="zh-CN"/>
              </w:rPr>
              <w:t>225-255</w:t>
            </w:r>
          </w:p>
        </w:tc>
        <w:tc>
          <w:tcPr>
            <w:tcW w:w="1279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zh-CN" w:eastAsia="zh-CN" w:bidi="zh-CN"/>
              </w:rPr>
              <w:t>240-270</w:t>
            </w:r>
          </w:p>
        </w:tc>
        <w:tc>
          <w:tcPr>
            <w:tcW w:w="1360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zh-CN" w:eastAsia="zh-CN" w:bidi="zh-CN"/>
              </w:rPr>
              <w:t>270-300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5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zh-CN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zh-CN" w:eastAsia="zh-CN"/>
              </w:rPr>
              <w:t>比重（g/cm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zh-CN" w:eastAsia="zh-CN"/>
              </w:rPr>
              <w:t>³</w:t>
            </w: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zh-CN" w:eastAsia="zh-CN"/>
              </w:rPr>
              <w:t>）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zh-CN" w:eastAsia="zh-CN"/>
              </w:rPr>
              <w:t>Density</w:t>
            </w:r>
          </w:p>
        </w:tc>
        <w:tc>
          <w:tcPr>
            <w:tcW w:w="126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zh-CN" w:eastAsia="zh-CN" w:bidi="zh-CN"/>
              </w:rPr>
              <w:t>1.10±0.03</w:t>
            </w:r>
          </w:p>
        </w:tc>
        <w:tc>
          <w:tcPr>
            <w:tcW w:w="1279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zh-CN" w:eastAsia="zh-CN" w:bidi="zh-CN"/>
              </w:rPr>
              <w:t>1.12±0.03</w:t>
            </w:r>
          </w:p>
        </w:tc>
        <w:tc>
          <w:tcPr>
            <w:tcW w:w="1303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zh-CN" w:eastAsia="zh-CN" w:bidi="zh-CN"/>
              </w:rPr>
              <w:t>1.15±0.03</w:t>
            </w:r>
          </w:p>
        </w:tc>
        <w:tc>
          <w:tcPr>
            <w:tcW w:w="1279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zh-CN" w:eastAsia="zh-CN" w:bidi="zh-CN"/>
              </w:rPr>
              <w:t>1.17±0.03</w:t>
            </w:r>
          </w:p>
        </w:tc>
        <w:tc>
          <w:tcPr>
            <w:tcW w:w="1279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zh-CN" w:eastAsia="zh-CN" w:bidi="zh-CN"/>
              </w:rPr>
              <w:t>1.20±0.03</w:t>
            </w:r>
          </w:p>
        </w:tc>
        <w:tc>
          <w:tcPr>
            <w:tcW w:w="1360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zh-CN" w:eastAsia="zh-CN" w:bidi="zh-CN"/>
              </w:rPr>
              <w:t>1.22±0.03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5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zh-CN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zh-CN" w:eastAsia="zh-CN"/>
              </w:rPr>
              <w:t>硬度（邵氏 A）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zh-CN" w:eastAsia="zh-CN"/>
              </w:rPr>
              <w:t>Hardness (Shore A)</w:t>
            </w:r>
          </w:p>
        </w:tc>
        <w:tc>
          <w:tcPr>
            <w:tcW w:w="126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zh-CN" w:eastAsia="zh-CN" w:bidi="zh-CN"/>
              </w:rPr>
              <w:t>30±2</w:t>
            </w:r>
          </w:p>
        </w:tc>
        <w:tc>
          <w:tcPr>
            <w:tcW w:w="1279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zh-CN"/>
              </w:rPr>
              <w:t>4</w:t>
            </w:r>
            <w:r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zh-CN" w:eastAsia="zh-CN" w:bidi="zh-CN"/>
              </w:rPr>
              <w:t>0±2</w:t>
            </w:r>
          </w:p>
        </w:tc>
        <w:tc>
          <w:tcPr>
            <w:tcW w:w="1303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zh-CN"/>
              </w:rPr>
              <w:t>5</w:t>
            </w:r>
            <w:r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zh-CN" w:eastAsia="zh-CN" w:bidi="zh-CN"/>
              </w:rPr>
              <w:t>0±2</w:t>
            </w:r>
          </w:p>
        </w:tc>
        <w:tc>
          <w:tcPr>
            <w:tcW w:w="1279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zh-CN"/>
              </w:rPr>
              <w:t>6</w:t>
            </w:r>
            <w:r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zh-CN" w:eastAsia="zh-CN" w:bidi="zh-CN"/>
              </w:rPr>
              <w:t>0±2</w:t>
            </w:r>
          </w:p>
        </w:tc>
        <w:tc>
          <w:tcPr>
            <w:tcW w:w="1279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zh-CN"/>
              </w:rPr>
              <w:t>7</w:t>
            </w:r>
            <w:r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zh-CN" w:eastAsia="zh-CN" w:bidi="zh-CN"/>
              </w:rPr>
              <w:t>0±2</w:t>
            </w:r>
          </w:p>
        </w:tc>
        <w:tc>
          <w:tcPr>
            <w:tcW w:w="1360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zh-CN"/>
              </w:rPr>
              <w:t>8</w:t>
            </w:r>
            <w:r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zh-CN" w:eastAsia="zh-CN" w:bidi="zh-CN"/>
              </w:rPr>
              <w:t>0±2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5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zh-CN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zh-CN" w:eastAsia="zh-CN"/>
              </w:rPr>
              <w:t>拉伸强度（MPa）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zh-CN" w:eastAsia="zh-CN"/>
              </w:rPr>
              <w:t>Tensile Strength</w:t>
            </w:r>
          </w:p>
        </w:tc>
        <w:tc>
          <w:tcPr>
            <w:tcW w:w="126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zh-CN" w:eastAsia="zh-CN" w:bidi="zh-CN"/>
              </w:rPr>
              <w:t>≥7.5</w:t>
            </w:r>
          </w:p>
        </w:tc>
        <w:tc>
          <w:tcPr>
            <w:tcW w:w="1279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zh-CN" w:eastAsia="zh-CN" w:bidi="zh-CN"/>
              </w:rPr>
              <w:t>≥8</w:t>
            </w:r>
          </w:p>
        </w:tc>
        <w:tc>
          <w:tcPr>
            <w:tcW w:w="1303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zh-CN" w:eastAsia="zh-CN" w:bidi="zh-CN"/>
              </w:rPr>
              <w:t>≥8.5</w:t>
            </w:r>
          </w:p>
        </w:tc>
        <w:tc>
          <w:tcPr>
            <w:tcW w:w="1279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zh-CN" w:eastAsia="zh-CN" w:bidi="zh-CN"/>
              </w:rPr>
              <w:t>≥8.5</w:t>
            </w:r>
          </w:p>
        </w:tc>
        <w:tc>
          <w:tcPr>
            <w:tcW w:w="1279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zh-CN" w:eastAsia="zh-CN" w:bidi="zh-CN"/>
              </w:rPr>
              <w:t>≥8</w:t>
            </w:r>
          </w:p>
        </w:tc>
        <w:tc>
          <w:tcPr>
            <w:tcW w:w="1360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zh-CN" w:eastAsia="zh-CN" w:bidi="zh-CN"/>
              </w:rPr>
              <w:t>≥7.5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5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zh-CN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zh-CN" w:eastAsia="zh-CN"/>
              </w:rPr>
              <w:t>扯断伸长率（</w:t>
            </w: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  <w:t>%</w:t>
            </w: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zh-CN" w:eastAsia="zh-CN"/>
              </w:rPr>
              <w:t>）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zh-CN" w:eastAsia="zh-CN"/>
              </w:rPr>
              <w:t>Elongation</w:t>
            </w:r>
          </w:p>
        </w:tc>
        <w:tc>
          <w:tcPr>
            <w:tcW w:w="126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zh-CN" w:eastAsia="zh-CN" w:bidi="zh-CN"/>
              </w:rPr>
              <w:t>≥750</w:t>
            </w:r>
          </w:p>
        </w:tc>
        <w:tc>
          <w:tcPr>
            <w:tcW w:w="1279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zh-CN" w:eastAsia="zh-CN" w:bidi="zh-CN"/>
              </w:rPr>
              <w:t>≥700</w:t>
            </w:r>
          </w:p>
        </w:tc>
        <w:tc>
          <w:tcPr>
            <w:tcW w:w="1303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zh-CN" w:eastAsia="zh-CN" w:bidi="zh-CN"/>
              </w:rPr>
              <w:t>≥600</w:t>
            </w:r>
          </w:p>
        </w:tc>
        <w:tc>
          <w:tcPr>
            <w:tcW w:w="1279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zh-CN" w:eastAsia="zh-CN" w:bidi="zh-CN"/>
              </w:rPr>
              <w:t>≥450</w:t>
            </w:r>
          </w:p>
        </w:tc>
        <w:tc>
          <w:tcPr>
            <w:tcW w:w="1279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zh-CN" w:eastAsia="zh-CN" w:bidi="zh-CN"/>
              </w:rPr>
              <w:t>≥380</w:t>
            </w:r>
          </w:p>
        </w:tc>
        <w:tc>
          <w:tcPr>
            <w:tcW w:w="1360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zh-CN" w:eastAsia="zh-CN" w:bidi="zh-CN"/>
              </w:rPr>
              <w:t>≥200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5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zh-CN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zh-CN" w:eastAsia="zh-CN"/>
              </w:rPr>
              <w:t>撕裂强度（KN/m）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zh-CN" w:eastAsia="zh-CN"/>
              </w:rPr>
              <w:t>Tear Strength</w:t>
            </w:r>
          </w:p>
        </w:tc>
        <w:tc>
          <w:tcPr>
            <w:tcW w:w="126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zh-CN" w:eastAsia="zh-CN" w:bidi="zh-CN"/>
              </w:rPr>
              <w:t>≥15</w:t>
            </w:r>
          </w:p>
        </w:tc>
        <w:tc>
          <w:tcPr>
            <w:tcW w:w="1279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zh-CN" w:eastAsia="zh-CN" w:bidi="zh-CN"/>
              </w:rPr>
              <w:t>≥20</w:t>
            </w:r>
          </w:p>
        </w:tc>
        <w:tc>
          <w:tcPr>
            <w:tcW w:w="1303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zh-CN" w:eastAsia="zh-CN" w:bidi="zh-CN"/>
              </w:rPr>
              <w:t>≥25</w:t>
            </w:r>
          </w:p>
        </w:tc>
        <w:tc>
          <w:tcPr>
            <w:tcW w:w="1279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zh-CN" w:eastAsia="zh-CN" w:bidi="zh-CN"/>
              </w:rPr>
              <w:t>≥25</w:t>
            </w:r>
          </w:p>
        </w:tc>
        <w:tc>
          <w:tcPr>
            <w:tcW w:w="1279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zh-CN" w:eastAsia="zh-CN" w:bidi="zh-CN"/>
              </w:rPr>
              <w:t>≥20</w:t>
            </w:r>
          </w:p>
        </w:tc>
        <w:tc>
          <w:tcPr>
            <w:tcW w:w="1360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zh-CN" w:eastAsia="zh-CN" w:bidi="zh-CN"/>
              </w:rPr>
              <w:t>≥15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5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zh-CN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zh-CN" w:eastAsia="zh-CN"/>
              </w:rPr>
              <w:t>线性收缩率（</w:t>
            </w: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  <w:t>%</w:t>
            </w: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zh-CN" w:eastAsia="zh-CN"/>
              </w:rPr>
              <w:t>）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zh-CN" w:eastAsia="zh-CN"/>
              </w:rPr>
              <w:t>Linear Shrinkage</w:t>
            </w:r>
          </w:p>
        </w:tc>
        <w:tc>
          <w:tcPr>
            <w:tcW w:w="126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zh-CN" w:eastAsia="zh-CN" w:bidi="zh-CN"/>
              </w:rPr>
              <w:t>3.8±0.3</w:t>
            </w:r>
          </w:p>
        </w:tc>
        <w:tc>
          <w:tcPr>
            <w:tcW w:w="1279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zh-CN" w:eastAsia="zh-CN" w:bidi="zh-CN"/>
              </w:rPr>
              <w:t>3.6±0.3</w:t>
            </w:r>
          </w:p>
        </w:tc>
        <w:tc>
          <w:tcPr>
            <w:tcW w:w="1303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zh-CN" w:eastAsia="zh-CN" w:bidi="zh-CN"/>
              </w:rPr>
              <w:t>3.4±0.3</w:t>
            </w:r>
          </w:p>
        </w:tc>
        <w:tc>
          <w:tcPr>
            <w:tcW w:w="1279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zh-CN" w:eastAsia="zh-CN" w:bidi="zh-CN"/>
              </w:rPr>
              <w:t>3.2±0.3</w:t>
            </w:r>
          </w:p>
        </w:tc>
        <w:tc>
          <w:tcPr>
            <w:tcW w:w="1279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zh-CN" w:eastAsia="zh-CN" w:bidi="zh-CN"/>
              </w:rPr>
              <w:t>3.1±0.3</w:t>
            </w:r>
          </w:p>
        </w:tc>
        <w:tc>
          <w:tcPr>
            <w:tcW w:w="1360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zh-CN" w:eastAsia="zh-CN" w:bidi="zh-CN"/>
              </w:rPr>
              <w:t>3.0±0.3</w:t>
            </w:r>
          </w:p>
        </w:tc>
      </w:tr>
    </w:tbl>
    <w:p>
      <w:pPr>
        <w:pStyle w:val="3"/>
        <w:spacing w:before="13"/>
        <w:rPr>
          <w:rFonts w:hint="eastAsia" w:ascii="楷体" w:hAnsi="楷体" w:eastAsia="楷体" w:cs="楷体"/>
          <w:b w:val="0"/>
          <w:bCs w:val="0"/>
          <w:color w:val="auto"/>
          <w:w w:val="100"/>
          <w:position w:val="1"/>
        </w:rPr>
      </w:pPr>
    </w:p>
    <w:p>
      <w:pPr>
        <w:pStyle w:val="3"/>
        <w:spacing w:before="13"/>
        <w:rPr>
          <w:rFonts w:hint="eastAsia" w:ascii="楷体" w:hAnsi="楷体" w:eastAsia="楷体" w:cs="楷体"/>
          <w:b w:val="0"/>
          <w:bCs w:val="0"/>
          <w:color w:val="auto"/>
        </w:rPr>
      </w:pPr>
      <w:r>
        <w:rPr>
          <w:rFonts w:hint="eastAsia" w:ascii="楷体" w:hAnsi="楷体" w:eastAsia="楷体" w:cs="楷体"/>
          <w:b w:val="0"/>
          <w:bCs w:val="0"/>
          <w:color w:val="auto"/>
          <w:w w:val="100"/>
          <w:position w:val="1"/>
        </w:rPr>
        <w:t>注：</w:t>
      </w:r>
      <w:r>
        <w:rPr>
          <w:rFonts w:hint="eastAsia" w:ascii="楷体" w:hAnsi="楷体" w:eastAsia="楷体" w:cs="楷体"/>
          <w:b w:val="0"/>
          <w:bCs w:val="0"/>
          <w:color w:val="auto"/>
          <w:spacing w:val="-3"/>
          <w:w w:val="100"/>
          <w:position w:val="1"/>
        </w:rPr>
        <w:t>硫</w:t>
      </w:r>
      <w:r>
        <w:rPr>
          <w:rFonts w:hint="eastAsia" w:ascii="楷体" w:hAnsi="楷体" w:eastAsia="楷体" w:cs="楷体"/>
          <w:b w:val="0"/>
          <w:bCs w:val="0"/>
          <w:color w:val="auto"/>
          <w:w w:val="100"/>
          <w:position w:val="1"/>
        </w:rPr>
        <w:t>化</w:t>
      </w:r>
      <w:r>
        <w:rPr>
          <w:rFonts w:hint="eastAsia" w:ascii="楷体" w:hAnsi="楷体" w:eastAsia="楷体" w:cs="楷体"/>
          <w:b w:val="0"/>
          <w:bCs w:val="0"/>
          <w:color w:val="auto"/>
          <w:spacing w:val="-3"/>
          <w:w w:val="100"/>
          <w:position w:val="1"/>
        </w:rPr>
        <w:t>条</w:t>
      </w:r>
      <w:r>
        <w:rPr>
          <w:rFonts w:hint="eastAsia" w:ascii="楷体" w:hAnsi="楷体" w:eastAsia="楷体" w:cs="楷体"/>
          <w:b w:val="0"/>
          <w:bCs w:val="0"/>
          <w:color w:val="auto"/>
          <w:w w:val="100"/>
          <w:position w:val="1"/>
        </w:rPr>
        <w:t>件</w:t>
      </w:r>
      <w:r>
        <w:rPr>
          <w:rFonts w:hint="eastAsia" w:ascii="楷体" w:hAnsi="楷体" w:eastAsia="楷体" w:cs="楷体"/>
          <w:b w:val="0"/>
          <w:bCs w:val="0"/>
          <w:color w:val="auto"/>
          <w:spacing w:val="-3"/>
          <w:w w:val="100"/>
          <w:position w:val="1"/>
        </w:rPr>
        <w:t>，</w:t>
      </w:r>
      <w:r>
        <w:rPr>
          <w:rFonts w:hint="eastAsia" w:ascii="楷体" w:hAnsi="楷体" w:eastAsia="楷体" w:cs="楷体"/>
          <w:b w:val="0"/>
          <w:bCs w:val="0"/>
          <w:color w:val="auto"/>
          <w:w w:val="124"/>
          <w:position w:val="1"/>
        </w:rPr>
        <w:t>C</w:t>
      </w:r>
      <w:r>
        <w:rPr>
          <w:rFonts w:hint="eastAsia" w:ascii="楷体" w:hAnsi="楷体" w:eastAsia="楷体" w:cs="楷体"/>
          <w:b w:val="0"/>
          <w:bCs w:val="0"/>
          <w:color w:val="auto"/>
          <w:w w:val="100"/>
          <w:position w:val="1"/>
        </w:rPr>
        <w:t>-</w:t>
      </w:r>
      <w:r>
        <w:rPr>
          <w:rFonts w:hint="eastAsia" w:ascii="楷体" w:hAnsi="楷体" w:eastAsia="楷体" w:cs="楷体"/>
          <w:b w:val="0"/>
          <w:bCs w:val="0"/>
          <w:color w:val="auto"/>
          <w:spacing w:val="-2"/>
          <w:w w:val="105"/>
          <w:position w:val="1"/>
        </w:rPr>
        <w:t>1</w:t>
      </w:r>
      <w:r>
        <w:rPr>
          <w:rFonts w:hint="eastAsia" w:ascii="楷体" w:hAnsi="楷体" w:eastAsia="楷体" w:cs="楷体"/>
          <w:b w:val="0"/>
          <w:bCs w:val="0"/>
          <w:color w:val="auto"/>
          <w:w w:val="105"/>
          <w:position w:val="1"/>
        </w:rPr>
        <w:t>5</w:t>
      </w:r>
      <w:r>
        <w:rPr>
          <w:rFonts w:hint="eastAsia" w:ascii="楷体" w:hAnsi="楷体" w:eastAsia="楷体" w:cs="楷体"/>
          <w:b w:val="0"/>
          <w:bCs w:val="0"/>
          <w:color w:val="auto"/>
          <w:spacing w:val="-48"/>
          <w:position w:val="1"/>
        </w:rPr>
        <w:t xml:space="preserve"> </w:t>
      </w:r>
      <w:r>
        <w:rPr>
          <w:rFonts w:hint="eastAsia" w:ascii="楷体" w:hAnsi="楷体" w:eastAsia="楷体" w:cs="楷体"/>
          <w:b w:val="0"/>
          <w:bCs w:val="0"/>
          <w:color w:val="auto"/>
          <w:spacing w:val="-2"/>
          <w:w w:val="105"/>
          <w:position w:val="1"/>
        </w:rPr>
        <w:t>1</w:t>
      </w:r>
      <w:r>
        <w:rPr>
          <w:rFonts w:hint="eastAsia" w:ascii="楷体" w:hAnsi="楷体" w:eastAsia="楷体" w:cs="楷体"/>
          <w:b w:val="0"/>
          <w:bCs w:val="0"/>
          <w:color w:val="auto"/>
          <w:w w:val="44"/>
          <w:position w:val="1"/>
        </w:rPr>
        <w:t>.</w:t>
      </w:r>
      <w:r>
        <w:rPr>
          <w:rFonts w:hint="eastAsia" w:ascii="楷体" w:hAnsi="楷体" w:eastAsia="楷体" w:cs="楷体"/>
          <w:b w:val="0"/>
          <w:bCs w:val="0"/>
          <w:color w:val="auto"/>
          <w:spacing w:val="3"/>
          <w:w w:val="105"/>
          <w:position w:val="1"/>
        </w:rPr>
        <w:t>3</w:t>
      </w:r>
      <w:r>
        <w:rPr>
          <w:rFonts w:hint="eastAsia" w:ascii="楷体" w:hAnsi="楷体" w:eastAsia="楷体" w:cs="楷体"/>
          <w:b w:val="0"/>
          <w:bCs w:val="0"/>
          <w:color w:val="auto"/>
          <w:spacing w:val="3"/>
          <w:w w:val="105"/>
          <w:lang w:val="en-US" w:eastAsia="zh-CN"/>
        </w:rPr>
        <w:t>%</w:t>
      </w:r>
      <w:r>
        <w:rPr>
          <w:rFonts w:hint="eastAsia" w:ascii="楷体" w:hAnsi="楷体" w:eastAsia="楷体" w:cs="楷体"/>
          <w:b w:val="0"/>
          <w:bCs w:val="0"/>
          <w:color w:val="auto"/>
          <w:spacing w:val="-5"/>
          <w:w w:val="44"/>
          <w:position w:val="1"/>
        </w:rPr>
        <w:t>,</w:t>
      </w:r>
      <w:r>
        <w:rPr>
          <w:rFonts w:hint="eastAsia" w:ascii="楷体" w:hAnsi="楷体" w:eastAsia="楷体" w:cs="楷体"/>
          <w:b w:val="0"/>
          <w:bCs w:val="0"/>
          <w:color w:val="auto"/>
          <w:spacing w:val="-5"/>
          <w:w w:val="44"/>
          <w:position w:val="1"/>
          <w:lang w:val="en-US" w:eastAsia="zh-CN"/>
        </w:rPr>
        <w:t xml:space="preserve"> </w:t>
      </w:r>
      <w:r>
        <w:rPr>
          <w:rFonts w:hint="eastAsia" w:ascii="楷体" w:hAnsi="楷体" w:eastAsia="楷体" w:cs="楷体"/>
          <w:b w:val="0"/>
          <w:bCs w:val="0"/>
          <w:color w:val="auto"/>
          <w:w w:val="105"/>
          <w:position w:val="1"/>
        </w:rPr>
        <w:t>1</w:t>
      </w:r>
      <w:r>
        <w:rPr>
          <w:rFonts w:hint="eastAsia" w:ascii="楷体" w:hAnsi="楷体" w:eastAsia="楷体" w:cs="楷体"/>
          <w:b w:val="0"/>
          <w:bCs w:val="0"/>
          <w:color w:val="auto"/>
          <w:spacing w:val="-2"/>
          <w:w w:val="105"/>
          <w:position w:val="1"/>
        </w:rPr>
        <w:t>7</w:t>
      </w:r>
      <w:r>
        <w:rPr>
          <w:rFonts w:hint="eastAsia" w:ascii="楷体" w:hAnsi="楷体" w:eastAsia="楷体" w:cs="楷体"/>
          <w:b w:val="0"/>
          <w:bCs w:val="0"/>
          <w:color w:val="auto"/>
          <w:w w:val="105"/>
          <w:position w:val="1"/>
        </w:rPr>
        <w:t>5</w:t>
      </w:r>
      <w:r>
        <w:rPr>
          <w:rFonts w:hint="eastAsia" w:ascii="楷体" w:hAnsi="楷体" w:eastAsia="楷体" w:cs="楷体"/>
          <w:b w:val="0"/>
          <w:bCs w:val="0"/>
          <w:color w:val="auto"/>
          <w:w w:val="100"/>
          <w:position w:val="1"/>
        </w:rPr>
        <w:t>℃</w:t>
      </w:r>
      <w:r>
        <w:rPr>
          <w:rFonts w:hint="eastAsia" w:ascii="楷体" w:hAnsi="楷体" w:eastAsia="楷体" w:cs="楷体"/>
          <w:b w:val="0"/>
          <w:bCs w:val="0"/>
          <w:color w:val="auto"/>
          <w:spacing w:val="-48"/>
          <w:position w:val="1"/>
        </w:rPr>
        <w:t xml:space="preserve"> </w:t>
      </w:r>
      <w:r>
        <w:rPr>
          <w:rFonts w:hint="eastAsia" w:ascii="楷体" w:hAnsi="楷体" w:eastAsia="楷体" w:cs="楷体"/>
          <w:b w:val="0"/>
          <w:bCs w:val="0"/>
          <w:color w:val="auto"/>
          <w:spacing w:val="-2"/>
          <w:w w:val="105"/>
          <w:position w:val="1"/>
        </w:rPr>
        <w:t>5</w:t>
      </w:r>
      <w:r>
        <w:rPr>
          <w:rFonts w:hint="eastAsia" w:ascii="楷体" w:hAnsi="楷体" w:eastAsia="楷体" w:cs="楷体"/>
          <w:b w:val="0"/>
          <w:bCs w:val="0"/>
          <w:color w:val="auto"/>
          <w:w w:val="169"/>
          <w:position w:val="1"/>
        </w:rPr>
        <w:t>m</w:t>
      </w:r>
      <w:r>
        <w:rPr>
          <w:rFonts w:hint="eastAsia" w:ascii="楷体" w:hAnsi="楷体" w:eastAsia="楷体" w:cs="楷体"/>
          <w:b w:val="0"/>
          <w:bCs w:val="0"/>
          <w:color w:val="auto"/>
          <w:spacing w:val="1"/>
          <w:w w:val="44"/>
          <w:position w:val="1"/>
        </w:rPr>
        <w:t>i</w:t>
      </w:r>
      <w:r>
        <w:rPr>
          <w:rFonts w:hint="eastAsia" w:ascii="楷体" w:hAnsi="楷体" w:eastAsia="楷体" w:cs="楷体"/>
          <w:b w:val="0"/>
          <w:bCs w:val="0"/>
          <w:color w:val="auto"/>
          <w:spacing w:val="-3"/>
          <w:w w:val="110"/>
          <w:position w:val="1"/>
        </w:rPr>
        <w:t>n</w:t>
      </w:r>
      <w:r>
        <w:rPr>
          <w:rFonts w:hint="eastAsia" w:ascii="楷体" w:hAnsi="楷体" w:eastAsia="楷体" w:cs="楷体"/>
          <w:b w:val="0"/>
          <w:bCs w:val="0"/>
          <w:color w:val="auto"/>
          <w:w w:val="81"/>
          <w:position w:val="1"/>
        </w:rPr>
        <w:t>s</w:t>
      </w:r>
    </w:p>
    <w:p>
      <w:pPr>
        <w:pStyle w:val="4"/>
        <w:spacing w:before="11"/>
        <w:rPr>
          <w:sz w:val="21"/>
        </w:rPr>
      </w:pPr>
    </w:p>
    <w:p>
      <w:pPr>
        <w:spacing w:before="1"/>
        <w:ind w:left="0" w:leftChars="0" w:right="0" w:firstLine="0" w:firstLineChars="0"/>
        <w:jc w:val="left"/>
        <w:rPr>
          <w:rFonts w:hint="eastAsia" w:ascii="楷体" w:hAnsi="楷体" w:eastAsia="楷体" w:cs="楷体"/>
          <w:kern w:val="0"/>
          <w:sz w:val="21"/>
          <w:szCs w:val="21"/>
          <w:lang w:val="en-US" w:eastAsia="zh-CN"/>
        </w:rPr>
      </w:pPr>
      <w:r>
        <w:rPr>
          <w:rFonts w:hint="eastAsia" w:ascii="楷体" w:hAnsi="楷体" w:eastAsia="楷体" w:cs="楷体"/>
          <w:b/>
          <w:bCs/>
          <w:kern w:val="0"/>
          <w:sz w:val="24"/>
          <w:szCs w:val="22"/>
          <w:lang w:val="en-US" w:eastAsia="zh-CN" w:bidi="en-US"/>
        </w:rPr>
        <w:t xml:space="preserve">包装规格： </w:t>
      </w:r>
      <w:r>
        <w:rPr>
          <w:rFonts w:hint="eastAsia" w:ascii="楷体" w:hAnsi="楷体" w:eastAsia="楷体" w:cs="楷体"/>
          <w:kern w:val="0"/>
          <w:sz w:val="21"/>
          <w:szCs w:val="21"/>
          <w:lang w:val="en-US" w:eastAsia="zh-CN"/>
        </w:rPr>
        <w:t>20Kg/箱。</w:t>
      </w:r>
      <w:bookmarkStart w:id="1" w:name="_GoBack"/>
      <w:bookmarkEnd w:id="1"/>
    </w:p>
    <w:p>
      <w:pPr>
        <w:pStyle w:val="4"/>
        <w:spacing w:before="12"/>
        <w:rPr>
          <w:sz w:val="23"/>
        </w:rPr>
      </w:pPr>
    </w:p>
    <w:p>
      <w:pPr>
        <w:widowControl/>
        <w:autoSpaceDE/>
        <w:autoSpaceDN/>
        <w:spacing w:before="39" w:after="0" w:line="240" w:lineRule="auto"/>
        <w:ind w:left="200" w:leftChars="0" w:right="140" w:hanging="200" w:hangingChars="83"/>
        <w:jc w:val="left"/>
        <w:rPr>
          <w:rFonts w:hint="eastAsia" w:ascii="楷体" w:hAnsi="楷体" w:eastAsia="楷体" w:cs="楷体"/>
          <w:b/>
          <w:bCs/>
          <w:kern w:val="0"/>
          <w:sz w:val="24"/>
          <w:szCs w:val="22"/>
          <w:lang w:val="en-US" w:eastAsia="zh-CN" w:bidi="en-US"/>
        </w:rPr>
      </w:pPr>
      <w:r>
        <w:rPr>
          <w:rFonts w:hint="eastAsia" w:ascii="楷体" w:hAnsi="楷体" w:eastAsia="楷体" w:cs="楷体"/>
          <w:b/>
          <w:bCs/>
          <w:kern w:val="0"/>
          <w:sz w:val="24"/>
          <w:szCs w:val="22"/>
          <w:lang w:val="en-US" w:eastAsia="zh-CN" w:bidi="en-US"/>
        </w:rPr>
        <w:t>以上数据供参考，最新检测标准和数据以产品检测报告为准。</w:t>
      </w:r>
    </w:p>
    <w:p>
      <w:pPr>
        <w:spacing w:line="240" w:lineRule="atLeast"/>
        <w:ind w:left="0" w:leftChars="0" w:firstLine="420" w:firstLineChars="200"/>
        <w:rPr>
          <w:rFonts w:hint="eastAsia" w:ascii="楷体" w:hAnsi="楷体" w:eastAsia="楷体" w:cs="楷体"/>
          <w:kern w:val="0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spacing w:line="240" w:lineRule="atLeast"/>
        <w:rPr>
          <w:rFonts w:hint="default" w:ascii="宋体" w:hAnsi="宋体" w:cs="宋体"/>
          <w:b/>
          <w:color w:val="000000"/>
          <w:kern w:val="0"/>
          <w:sz w:val="30"/>
          <w:szCs w:val="30"/>
          <w:lang w:val="en-US" w:eastAsia="zh-CN" w:bidi="ar"/>
        </w:rPr>
      </w:pPr>
    </w:p>
    <w:sectPr>
      <w:headerReference r:id="rId3" w:type="default"/>
      <w:footerReference r:id="rId4" w:type="default"/>
      <w:pgSz w:w="11906" w:h="16838"/>
      <w:pgMar w:top="737" w:right="862" w:bottom="561" w:left="964" w:header="231" w:footer="15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decorative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40" w:lineRule="atLeast"/>
      <w:rPr>
        <w:rFonts w:hint="eastAsia" w:ascii="宋体" w:hAnsi="宋体" w:eastAsia="宋体"/>
        <w:szCs w:val="21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tabs>
        <w:tab w:val="left" w:pos="2220"/>
      </w:tabs>
      <w:spacing w:line="240" w:lineRule="atLeast"/>
      <w:ind w:left="-199" w:leftChars="-95" w:firstLine="0" w:firstLineChars="0"/>
      <w:jc w:val="left"/>
      <w:rPr>
        <w:b/>
        <w:sz w:val="28"/>
        <w:szCs w:val="28"/>
      </w:rPr>
    </w:pPr>
    <w:bookmarkStart w:id="0" w:name="page1"/>
    <w:bookmarkEnd w:id="0"/>
    <w:r>
      <w:rPr>
        <w:rFonts w:hint="eastAsia" w:ascii="微软雅黑" w:hAnsi="微软雅黑" w:eastAsia="微软雅黑" w:cs="微软雅黑"/>
        <w:sz w:val="24"/>
        <w:lang w:eastAsia="zh-CN"/>
      </w:rPr>
      <w:drawing>
        <wp:inline distT="0" distB="0" distL="114300" distR="114300">
          <wp:extent cx="6610350" cy="1563370"/>
          <wp:effectExtent l="0" t="0" r="0" b="17780"/>
          <wp:docPr id="4" name="图片 2" descr="微信图片_201803050904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" descr="微信图片_20180305090440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10350" cy="1563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C2B"/>
    <w:rsid w:val="00004D1A"/>
    <w:rsid w:val="00005739"/>
    <w:rsid w:val="00007C53"/>
    <w:rsid w:val="00012A5D"/>
    <w:rsid w:val="00017763"/>
    <w:rsid w:val="00020628"/>
    <w:rsid w:val="00021630"/>
    <w:rsid w:val="00022585"/>
    <w:rsid w:val="00022B6A"/>
    <w:rsid w:val="0004179F"/>
    <w:rsid w:val="00052226"/>
    <w:rsid w:val="00062F2F"/>
    <w:rsid w:val="00065B9F"/>
    <w:rsid w:val="00072862"/>
    <w:rsid w:val="00076882"/>
    <w:rsid w:val="00082B0B"/>
    <w:rsid w:val="00090797"/>
    <w:rsid w:val="000970A7"/>
    <w:rsid w:val="000A46DE"/>
    <w:rsid w:val="000B0E83"/>
    <w:rsid w:val="000D4708"/>
    <w:rsid w:val="000D5DF0"/>
    <w:rsid w:val="000E2B26"/>
    <w:rsid w:val="000E3B94"/>
    <w:rsid w:val="000F0549"/>
    <w:rsid w:val="000F21D4"/>
    <w:rsid w:val="000F675B"/>
    <w:rsid w:val="001059A0"/>
    <w:rsid w:val="00131C68"/>
    <w:rsid w:val="001326E0"/>
    <w:rsid w:val="00141515"/>
    <w:rsid w:val="0015664F"/>
    <w:rsid w:val="001576AB"/>
    <w:rsid w:val="001616B0"/>
    <w:rsid w:val="0017512C"/>
    <w:rsid w:val="0017599D"/>
    <w:rsid w:val="00183304"/>
    <w:rsid w:val="0018390D"/>
    <w:rsid w:val="001A5058"/>
    <w:rsid w:val="001B6112"/>
    <w:rsid w:val="001C18A0"/>
    <w:rsid w:val="001C1A9F"/>
    <w:rsid w:val="001E282C"/>
    <w:rsid w:val="001E7C37"/>
    <w:rsid w:val="001F5718"/>
    <w:rsid w:val="00212E9B"/>
    <w:rsid w:val="0022010D"/>
    <w:rsid w:val="00235703"/>
    <w:rsid w:val="00237116"/>
    <w:rsid w:val="00241BFA"/>
    <w:rsid w:val="00243850"/>
    <w:rsid w:val="00250662"/>
    <w:rsid w:val="0025093A"/>
    <w:rsid w:val="002549CF"/>
    <w:rsid w:val="00255ECD"/>
    <w:rsid w:val="002652A9"/>
    <w:rsid w:val="0026578B"/>
    <w:rsid w:val="00267BC7"/>
    <w:rsid w:val="002751B6"/>
    <w:rsid w:val="00280EE3"/>
    <w:rsid w:val="00284DD1"/>
    <w:rsid w:val="00287AA5"/>
    <w:rsid w:val="002A288E"/>
    <w:rsid w:val="002B0E07"/>
    <w:rsid w:val="002C1586"/>
    <w:rsid w:val="002C16B0"/>
    <w:rsid w:val="002C2A87"/>
    <w:rsid w:val="002C7603"/>
    <w:rsid w:val="002F5329"/>
    <w:rsid w:val="00302216"/>
    <w:rsid w:val="00325096"/>
    <w:rsid w:val="00325999"/>
    <w:rsid w:val="00347A41"/>
    <w:rsid w:val="003505BB"/>
    <w:rsid w:val="00357F4D"/>
    <w:rsid w:val="003721EC"/>
    <w:rsid w:val="003730B7"/>
    <w:rsid w:val="0037542E"/>
    <w:rsid w:val="0037669C"/>
    <w:rsid w:val="003857B0"/>
    <w:rsid w:val="003974C1"/>
    <w:rsid w:val="003A14CB"/>
    <w:rsid w:val="003A7D0C"/>
    <w:rsid w:val="003C1B06"/>
    <w:rsid w:val="003C35F3"/>
    <w:rsid w:val="003E0BB0"/>
    <w:rsid w:val="003F14A6"/>
    <w:rsid w:val="00407FE7"/>
    <w:rsid w:val="00420B3E"/>
    <w:rsid w:val="0046188A"/>
    <w:rsid w:val="004644F3"/>
    <w:rsid w:val="0047440E"/>
    <w:rsid w:val="00480582"/>
    <w:rsid w:val="0048063B"/>
    <w:rsid w:val="00483834"/>
    <w:rsid w:val="00492E5A"/>
    <w:rsid w:val="00493DFA"/>
    <w:rsid w:val="00494EFD"/>
    <w:rsid w:val="004972DC"/>
    <w:rsid w:val="004B0264"/>
    <w:rsid w:val="004B45BF"/>
    <w:rsid w:val="004B49D9"/>
    <w:rsid w:val="004B573F"/>
    <w:rsid w:val="004B6741"/>
    <w:rsid w:val="004D0C07"/>
    <w:rsid w:val="004F5504"/>
    <w:rsid w:val="00502E6B"/>
    <w:rsid w:val="00507907"/>
    <w:rsid w:val="00520599"/>
    <w:rsid w:val="0052554E"/>
    <w:rsid w:val="00534791"/>
    <w:rsid w:val="00536025"/>
    <w:rsid w:val="005413AF"/>
    <w:rsid w:val="00542F44"/>
    <w:rsid w:val="005442A3"/>
    <w:rsid w:val="00567684"/>
    <w:rsid w:val="0057226D"/>
    <w:rsid w:val="0057760D"/>
    <w:rsid w:val="00577B36"/>
    <w:rsid w:val="00583F00"/>
    <w:rsid w:val="00584C2B"/>
    <w:rsid w:val="00590EEB"/>
    <w:rsid w:val="00591450"/>
    <w:rsid w:val="0059146E"/>
    <w:rsid w:val="005A087E"/>
    <w:rsid w:val="005A4341"/>
    <w:rsid w:val="005D065C"/>
    <w:rsid w:val="005D50F8"/>
    <w:rsid w:val="005E096B"/>
    <w:rsid w:val="005F14DD"/>
    <w:rsid w:val="005F402D"/>
    <w:rsid w:val="005F720E"/>
    <w:rsid w:val="00602202"/>
    <w:rsid w:val="00604C87"/>
    <w:rsid w:val="00604F73"/>
    <w:rsid w:val="00623EB9"/>
    <w:rsid w:val="006241BF"/>
    <w:rsid w:val="00647540"/>
    <w:rsid w:val="00655740"/>
    <w:rsid w:val="0065630C"/>
    <w:rsid w:val="006565FA"/>
    <w:rsid w:val="00662BC1"/>
    <w:rsid w:val="00664D8D"/>
    <w:rsid w:val="00666324"/>
    <w:rsid w:val="006807F6"/>
    <w:rsid w:val="006A1A72"/>
    <w:rsid w:val="006B19F7"/>
    <w:rsid w:val="006B34FF"/>
    <w:rsid w:val="006B57DC"/>
    <w:rsid w:val="006D718B"/>
    <w:rsid w:val="006E0053"/>
    <w:rsid w:val="006E0212"/>
    <w:rsid w:val="006F0962"/>
    <w:rsid w:val="00702A47"/>
    <w:rsid w:val="007129AD"/>
    <w:rsid w:val="00717B48"/>
    <w:rsid w:val="00720FD0"/>
    <w:rsid w:val="007401B7"/>
    <w:rsid w:val="007459C7"/>
    <w:rsid w:val="00746A4F"/>
    <w:rsid w:val="00747DA4"/>
    <w:rsid w:val="00755A16"/>
    <w:rsid w:val="00761E70"/>
    <w:rsid w:val="007646AC"/>
    <w:rsid w:val="00774E75"/>
    <w:rsid w:val="0077546F"/>
    <w:rsid w:val="00776E17"/>
    <w:rsid w:val="00782F06"/>
    <w:rsid w:val="0078498A"/>
    <w:rsid w:val="00785ED5"/>
    <w:rsid w:val="00790CC6"/>
    <w:rsid w:val="00793505"/>
    <w:rsid w:val="00796BD9"/>
    <w:rsid w:val="007A1BD6"/>
    <w:rsid w:val="007A7B0A"/>
    <w:rsid w:val="007D7604"/>
    <w:rsid w:val="007E0642"/>
    <w:rsid w:val="007E324E"/>
    <w:rsid w:val="00801006"/>
    <w:rsid w:val="00801E77"/>
    <w:rsid w:val="00811BCC"/>
    <w:rsid w:val="008125EB"/>
    <w:rsid w:val="0081681A"/>
    <w:rsid w:val="008236A9"/>
    <w:rsid w:val="00824621"/>
    <w:rsid w:val="0082688E"/>
    <w:rsid w:val="00833C02"/>
    <w:rsid w:val="008368D1"/>
    <w:rsid w:val="00846FC5"/>
    <w:rsid w:val="00847675"/>
    <w:rsid w:val="008500A0"/>
    <w:rsid w:val="008517A2"/>
    <w:rsid w:val="00865272"/>
    <w:rsid w:val="0087257A"/>
    <w:rsid w:val="00877D69"/>
    <w:rsid w:val="0088298C"/>
    <w:rsid w:val="008A2595"/>
    <w:rsid w:val="008E7837"/>
    <w:rsid w:val="008F3DC6"/>
    <w:rsid w:val="008F6259"/>
    <w:rsid w:val="008F7BE0"/>
    <w:rsid w:val="00902D15"/>
    <w:rsid w:val="00903E5C"/>
    <w:rsid w:val="00914927"/>
    <w:rsid w:val="00916AB1"/>
    <w:rsid w:val="009270AE"/>
    <w:rsid w:val="00940509"/>
    <w:rsid w:val="009423D1"/>
    <w:rsid w:val="0094666C"/>
    <w:rsid w:val="00946E25"/>
    <w:rsid w:val="0094714E"/>
    <w:rsid w:val="00947A69"/>
    <w:rsid w:val="00947B46"/>
    <w:rsid w:val="00962660"/>
    <w:rsid w:val="00971CE2"/>
    <w:rsid w:val="009854E7"/>
    <w:rsid w:val="00992189"/>
    <w:rsid w:val="009960D8"/>
    <w:rsid w:val="009A04AE"/>
    <w:rsid w:val="009A46FA"/>
    <w:rsid w:val="009A4AC8"/>
    <w:rsid w:val="009C112B"/>
    <w:rsid w:val="009D7F36"/>
    <w:rsid w:val="009E4547"/>
    <w:rsid w:val="009E59BF"/>
    <w:rsid w:val="009F26F4"/>
    <w:rsid w:val="00A06656"/>
    <w:rsid w:val="00A2533B"/>
    <w:rsid w:val="00A42FF7"/>
    <w:rsid w:val="00A460F4"/>
    <w:rsid w:val="00A518FA"/>
    <w:rsid w:val="00A52E3D"/>
    <w:rsid w:val="00A6185A"/>
    <w:rsid w:val="00A67223"/>
    <w:rsid w:val="00A738FE"/>
    <w:rsid w:val="00A87659"/>
    <w:rsid w:val="00A9239D"/>
    <w:rsid w:val="00AB198F"/>
    <w:rsid w:val="00AB1E72"/>
    <w:rsid w:val="00AB5E97"/>
    <w:rsid w:val="00AE0531"/>
    <w:rsid w:val="00AE4EBF"/>
    <w:rsid w:val="00B00CD5"/>
    <w:rsid w:val="00B00D76"/>
    <w:rsid w:val="00B114D9"/>
    <w:rsid w:val="00B163E6"/>
    <w:rsid w:val="00B169DC"/>
    <w:rsid w:val="00B21BF6"/>
    <w:rsid w:val="00B27032"/>
    <w:rsid w:val="00B52A17"/>
    <w:rsid w:val="00B545D2"/>
    <w:rsid w:val="00B5733B"/>
    <w:rsid w:val="00B61BA5"/>
    <w:rsid w:val="00B63583"/>
    <w:rsid w:val="00B6488F"/>
    <w:rsid w:val="00B64E4F"/>
    <w:rsid w:val="00B702CF"/>
    <w:rsid w:val="00B718B0"/>
    <w:rsid w:val="00B832F5"/>
    <w:rsid w:val="00B8360D"/>
    <w:rsid w:val="00B92480"/>
    <w:rsid w:val="00BB08C1"/>
    <w:rsid w:val="00BB2C24"/>
    <w:rsid w:val="00BB58B8"/>
    <w:rsid w:val="00BC10F7"/>
    <w:rsid w:val="00BC567B"/>
    <w:rsid w:val="00BF34A7"/>
    <w:rsid w:val="00C11AC5"/>
    <w:rsid w:val="00C1403A"/>
    <w:rsid w:val="00C201B4"/>
    <w:rsid w:val="00C210F3"/>
    <w:rsid w:val="00C22B67"/>
    <w:rsid w:val="00C22DF7"/>
    <w:rsid w:val="00C26E3B"/>
    <w:rsid w:val="00C34929"/>
    <w:rsid w:val="00C4601A"/>
    <w:rsid w:val="00C52A69"/>
    <w:rsid w:val="00C532D1"/>
    <w:rsid w:val="00C706BA"/>
    <w:rsid w:val="00CA4BEB"/>
    <w:rsid w:val="00CA6D25"/>
    <w:rsid w:val="00CB3C6C"/>
    <w:rsid w:val="00CC107A"/>
    <w:rsid w:val="00CD143A"/>
    <w:rsid w:val="00CD6115"/>
    <w:rsid w:val="00D052C7"/>
    <w:rsid w:val="00D129E8"/>
    <w:rsid w:val="00D15128"/>
    <w:rsid w:val="00D21CCD"/>
    <w:rsid w:val="00D22E76"/>
    <w:rsid w:val="00D30F1C"/>
    <w:rsid w:val="00D31E34"/>
    <w:rsid w:val="00D515C6"/>
    <w:rsid w:val="00D61CEE"/>
    <w:rsid w:val="00D64587"/>
    <w:rsid w:val="00D755D0"/>
    <w:rsid w:val="00D90DF8"/>
    <w:rsid w:val="00D91F60"/>
    <w:rsid w:val="00D93D71"/>
    <w:rsid w:val="00DA1B0B"/>
    <w:rsid w:val="00DB1165"/>
    <w:rsid w:val="00DC00B0"/>
    <w:rsid w:val="00DC331D"/>
    <w:rsid w:val="00DE75E3"/>
    <w:rsid w:val="00DF3D9E"/>
    <w:rsid w:val="00E011F5"/>
    <w:rsid w:val="00E24610"/>
    <w:rsid w:val="00E265EB"/>
    <w:rsid w:val="00E47CC7"/>
    <w:rsid w:val="00E5506E"/>
    <w:rsid w:val="00E61AA2"/>
    <w:rsid w:val="00E6210F"/>
    <w:rsid w:val="00E6286D"/>
    <w:rsid w:val="00E828AB"/>
    <w:rsid w:val="00E84344"/>
    <w:rsid w:val="00E92392"/>
    <w:rsid w:val="00E96058"/>
    <w:rsid w:val="00EA0E76"/>
    <w:rsid w:val="00EA7CCE"/>
    <w:rsid w:val="00EB4C77"/>
    <w:rsid w:val="00EC4262"/>
    <w:rsid w:val="00EC6903"/>
    <w:rsid w:val="00EE2DED"/>
    <w:rsid w:val="00EE3E29"/>
    <w:rsid w:val="00EE453E"/>
    <w:rsid w:val="00EE6CE5"/>
    <w:rsid w:val="00EF3A05"/>
    <w:rsid w:val="00EF68E8"/>
    <w:rsid w:val="00F039DC"/>
    <w:rsid w:val="00F03DED"/>
    <w:rsid w:val="00F0539A"/>
    <w:rsid w:val="00F17386"/>
    <w:rsid w:val="00F17EA5"/>
    <w:rsid w:val="00F334B3"/>
    <w:rsid w:val="00F41183"/>
    <w:rsid w:val="00F41DC4"/>
    <w:rsid w:val="00F50422"/>
    <w:rsid w:val="00F92B98"/>
    <w:rsid w:val="00FA0EFB"/>
    <w:rsid w:val="00FA325E"/>
    <w:rsid w:val="00FB11E3"/>
    <w:rsid w:val="00FB4D12"/>
    <w:rsid w:val="00FC508C"/>
    <w:rsid w:val="00FD3A9A"/>
    <w:rsid w:val="00FD3D2A"/>
    <w:rsid w:val="00FD61B5"/>
    <w:rsid w:val="00FD7AC3"/>
    <w:rsid w:val="00FD7C1B"/>
    <w:rsid w:val="00FF68BA"/>
    <w:rsid w:val="119E09BA"/>
    <w:rsid w:val="15CA57E6"/>
    <w:rsid w:val="15E75422"/>
    <w:rsid w:val="169F4C69"/>
    <w:rsid w:val="1BF34B5D"/>
    <w:rsid w:val="1D0D61B5"/>
    <w:rsid w:val="2B6062F1"/>
    <w:rsid w:val="2C054318"/>
    <w:rsid w:val="2C3350AB"/>
    <w:rsid w:val="2D384E35"/>
    <w:rsid w:val="2DF226E3"/>
    <w:rsid w:val="33D10631"/>
    <w:rsid w:val="3D640B09"/>
    <w:rsid w:val="3EA95581"/>
    <w:rsid w:val="478143C2"/>
    <w:rsid w:val="4AED7749"/>
    <w:rsid w:val="4DCE2EDB"/>
    <w:rsid w:val="52964001"/>
    <w:rsid w:val="55F54066"/>
    <w:rsid w:val="60CD7017"/>
    <w:rsid w:val="64C8306C"/>
    <w:rsid w:val="67CF042E"/>
    <w:rsid w:val="68E6170E"/>
    <w:rsid w:val="6F8A05E9"/>
    <w:rsid w:val="7C8865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before="66"/>
      <w:ind w:left="216"/>
      <w:outlineLvl w:val="1"/>
    </w:pPr>
    <w:rPr>
      <w:rFonts w:ascii="宋体" w:hAnsi="宋体" w:eastAsia="宋体" w:cs="宋体"/>
      <w:b/>
      <w:bCs/>
      <w:sz w:val="24"/>
      <w:szCs w:val="24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spacing w:before="20"/>
      <w:ind w:left="336"/>
      <w:outlineLvl w:val="2"/>
    </w:pPr>
    <w:rPr>
      <w:rFonts w:ascii="宋体" w:hAnsi="宋体" w:eastAsia="宋体" w:cs="宋体"/>
      <w:b/>
      <w:bCs/>
      <w:sz w:val="21"/>
      <w:szCs w:val="21"/>
      <w:lang w:val="zh-CN" w:eastAsia="zh-CN" w:bidi="zh-CN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宋体" w:hAnsi="宋体" w:eastAsia="宋体" w:cs="宋体"/>
      <w:sz w:val="21"/>
      <w:szCs w:val="21"/>
      <w:lang w:val="zh-CN" w:eastAsia="zh-CN" w:bidi="zh-CN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Table Paragraph"/>
    <w:basedOn w:val="1"/>
    <w:qFormat/>
    <w:uiPriority w:val="1"/>
    <w:pPr>
      <w:spacing w:before="41"/>
      <w:jc w:val="center"/>
    </w:pPr>
    <w:rPr>
      <w:rFonts w:ascii="Times New Roman" w:hAnsi="Times New Roman" w:eastAsia="Times New Roman" w:cs="Times New Roman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456</Words>
  <Characters>487</Characters>
  <Lines>3</Lines>
  <Paragraphs>1</Paragraphs>
  <TotalTime>12</TotalTime>
  <ScaleCrop>false</ScaleCrop>
  <LinksUpToDate>false</LinksUpToDate>
  <CharactersWithSpaces>529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2014-09-18T04:38:00Z</dcterms:created>
  <dc:creator>USER</dc:creator>
  <cp:lastModifiedBy>康達科技集團-力達創新馮順德</cp:lastModifiedBy>
  <cp:lastPrinted>2010-08-10T14:57:00Z</cp:lastPrinted>
  <dcterms:modified xsi:type="dcterms:W3CDTF">2020-05-07T07:30:21Z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