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right="0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 双组份灌封胶 MR6611AB</w:t>
      </w: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spacing w:before="102" w:line="278" w:lineRule="auto"/>
        <w:ind w:left="121" w:right="-440" w:rightChars="0" w:firstLine="420"/>
        <w:jc w:val="left"/>
        <w:rPr>
          <w:sz w:val="21"/>
        </w:rPr>
      </w:pPr>
      <w:r>
        <w:rPr>
          <w:rFonts w:hint="eastAsia" w:cs="楷体"/>
          <w:sz w:val="21"/>
          <w:szCs w:val="21"/>
          <w:lang w:val="en-US" w:eastAsia="zh-CN" w:bidi="en-US"/>
        </w:rPr>
        <w:t>MR6611AB</w:t>
      </w:r>
      <w:r>
        <w:rPr>
          <w:spacing w:val="-3"/>
          <w:sz w:val="21"/>
        </w:rPr>
        <w:t>是一种双组份加成型硅橡胶，固化前具有较低的粘度，两个组分混合后，</w:t>
      </w:r>
      <w:r>
        <w:rPr>
          <w:rFonts w:ascii="Times New Roman" w:eastAsia="Times New Roman"/>
          <w:spacing w:val="-4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 xml:space="preserve">B </w:t>
      </w:r>
      <w:r>
        <w:rPr>
          <w:spacing w:val="-4"/>
          <w:sz w:val="21"/>
        </w:rPr>
        <w:t>组分发生加成而固化成成高性能弹性体；强度高，韧性好，固化时材料无收缩，该产品具有优异的耐老化、耐紫外线、耐高低温等性能。</w:t>
      </w:r>
    </w:p>
    <w:p>
      <w:pPr>
        <w:spacing w:before="0"/>
        <w:ind w:left="-660" w:leftChars="-300" w:right="0" w:firstLine="1540" w:firstLineChars="700"/>
        <w:jc w:val="left"/>
        <w:rPr>
          <w:rFonts w:hint="default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产品典型性能参数:</w:t>
      </w:r>
    </w:p>
    <w:p>
      <w:pPr>
        <w:tabs>
          <w:tab w:val="left" w:pos="954"/>
        </w:tabs>
        <w:spacing w:after="0" w:line="278" w:lineRule="auto"/>
        <w:rPr>
          <w:rFonts w:hint="eastAsia"/>
          <w:lang w:eastAsia="zh-CN"/>
        </w:rPr>
        <w:sectPr>
          <w:headerReference r:id="rId3" w:type="default"/>
          <w:type w:val="continuous"/>
          <w:pgSz w:w="11910" w:h="16840"/>
          <w:pgMar w:top="840" w:right="1290" w:bottom="280" w:left="720" w:header="60" w:footer="720" w:gutter="0"/>
          <w:cols w:space="425" w:num="1"/>
        </w:sect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产品特点和优点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流动性好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无收缩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高强度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耐老化性能好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使用温度-50℃~200℃</w:t>
      </w: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电力工程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复合绝缘子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高压绝缘器件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  <w:r>
        <w:rPr>
          <w:rFonts w:hint="eastAsia" w:cs="楷体"/>
          <w:b/>
          <w:bCs/>
          <w:sz w:val="24"/>
          <w:szCs w:val="22"/>
          <w:lang w:val="en-US" w:eastAsia="zh-CN" w:bidi="en-US"/>
        </w:rPr>
        <w:t>方法</w:t>
      </w:r>
    </w:p>
    <w:p>
      <w:pPr>
        <w:spacing w:before="102" w:line="240" w:lineRule="auto"/>
        <w:ind w:left="7" w:leftChars="0" w:right="-630" w:rightChars="0" w:firstLine="201" w:firstLineChars="96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使用时将 A，B 按照 1：1 的比例混合均匀，浇注</w:t>
      </w:r>
    </w:p>
    <w:p>
      <w:pPr>
        <w:spacing w:before="102" w:line="240" w:lineRule="auto"/>
        <w:ind w:right="-630" w:rightChars="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在需要封装的部位。产品有良好的自排泡性能，抽真</w:t>
      </w:r>
    </w:p>
    <w:p>
      <w:pPr>
        <w:spacing w:before="102" w:line="240" w:lineRule="auto"/>
        <w:ind w:right="-630" w:rightChars="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空后再灌封效果更佳。操作完成后，根据具体工艺条</w:t>
      </w:r>
    </w:p>
    <w:p>
      <w:pPr>
        <w:spacing w:before="102" w:line="240" w:lineRule="auto"/>
        <w:ind w:right="-630" w:rightChars="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件，室温加热固化均可。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1389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4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性能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59"/>
              <w:ind w:left="65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>MR</w:t>
            </w:r>
            <w:r>
              <w:rPr>
                <w:sz w:val="18"/>
              </w:rPr>
              <w:t>6611</w:t>
            </w:r>
            <w:r>
              <w:rPr>
                <w:rFonts w:hint="eastAsia" w:eastAsia="宋体"/>
                <w:sz w:val="18"/>
                <w:lang w:val="en-US" w:eastAsia="zh-CN"/>
              </w:rPr>
              <w:t>AB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ind w:left="95" w:right="49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88" w:type="dxa"/>
            <w:gridSpan w:val="3"/>
            <w:shd w:val="clear" w:color="auto" w:fill="33CC33"/>
          </w:tcPr>
          <w:p>
            <w:pPr>
              <w:pStyle w:val="10"/>
              <w:spacing w:before="52"/>
              <w:ind w:left="369" w:right="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4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颜色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ind w:left="64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半透明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ind w:left="95" w:right="49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spacing w:before="47"/>
              <w:ind w:right="61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>
              <w:rPr>
                <w:rFonts w:hint="eastAsia" w:ascii="楷体" w:hAnsi="楷体" w:eastAsia="楷体"/>
                <w:sz w:val="18"/>
              </w:rPr>
              <w:t>组分粘度</w:t>
            </w:r>
            <w:r>
              <w:rPr>
                <w:sz w:val="18"/>
              </w:rPr>
              <w:t>/mPa·s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47"/>
              <w:ind w:left="65"/>
              <w:rPr>
                <w:sz w:val="18"/>
              </w:rPr>
            </w:pPr>
            <w:r>
              <w:rPr>
                <w:sz w:val="18"/>
              </w:rPr>
              <w:t>8000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1000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27"/>
              <w:ind w:left="95" w:right="45"/>
              <w:rPr>
                <w:rFonts w:ascii="楷体"/>
                <w:sz w:val="21"/>
              </w:rPr>
            </w:pPr>
            <w:r>
              <w:rPr>
                <w:rFonts w:ascii="楷体"/>
                <w:sz w:val="21"/>
              </w:rPr>
              <w:t>GB/T2794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1"/>
              <w:rPr>
                <w:sz w:val="18"/>
              </w:rPr>
            </w:pPr>
            <w:r>
              <w:rPr>
                <w:sz w:val="18"/>
              </w:rPr>
              <w:t xml:space="preserve">B </w:t>
            </w:r>
            <w:r>
              <w:rPr>
                <w:rFonts w:hint="eastAsia" w:ascii="楷体" w:hAnsi="楷体" w:eastAsia="楷体"/>
                <w:sz w:val="18"/>
              </w:rPr>
              <w:t>组分粘度</w:t>
            </w:r>
            <w:r>
              <w:rPr>
                <w:sz w:val="18"/>
              </w:rPr>
              <w:t>/mPa·s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ind w:left="65"/>
              <w:rPr>
                <w:sz w:val="18"/>
              </w:rPr>
            </w:pPr>
            <w:r>
              <w:rPr>
                <w:sz w:val="18"/>
              </w:rPr>
              <w:t>7000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1000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30"/>
              <w:ind w:left="95" w:right="45"/>
              <w:rPr>
                <w:rFonts w:ascii="楷体"/>
                <w:sz w:val="21"/>
              </w:rPr>
            </w:pPr>
            <w:r>
              <w:rPr>
                <w:rFonts w:ascii="楷体"/>
                <w:sz w:val="21"/>
              </w:rPr>
              <w:t>GB/T2794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388" w:type="dxa"/>
            <w:gridSpan w:val="3"/>
            <w:shd w:val="clear" w:color="auto" w:fill="33CC33"/>
          </w:tcPr>
          <w:p>
            <w:pPr>
              <w:pStyle w:val="10"/>
              <w:spacing w:before="52"/>
              <w:ind w:left="369" w:right="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4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混合比例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62"/>
              <w:ind w:left="65"/>
              <w:rPr>
                <w:sz w:val="18"/>
              </w:rPr>
            </w:pPr>
            <w:r>
              <w:rPr>
                <w:sz w:val="18"/>
              </w:rPr>
              <w:t>A:B=1:1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ind w:left="95" w:right="47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重量比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spacing w:before="47"/>
              <w:ind w:right="63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操作时间</w:t>
            </w:r>
            <w:r>
              <w:rPr>
                <w:sz w:val="18"/>
              </w:rPr>
              <w:t>/min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59"/>
              <w:ind w:left="65"/>
              <w:rPr>
                <w:sz w:val="18"/>
              </w:rPr>
            </w:pPr>
            <w:r>
              <w:rPr>
                <w:sz w:val="18"/>
              </w:rPr>
              <w:t>30-40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0"/>
              <w:ind w:right="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2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固化时间</w:t>
            </w:r>
            <w:r>
              <w:rPr>
                <w:sz w:val="18"/>
              </w:rPr>
              <w:t>/h@25</w:t>
            </w:r>
            <w:r>
              <w:rPr>
                <w:rFonts w:hint="eastAsia" w:ascii="楷体" w:hAnsi="楷体" w:eastAsia="楷体"/>
                <w:sz w:val="18"/>
              </w:rPr>
              <w:t>℃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62"/>
              <w:ind w:left="62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ind w:left="95" w:right="49"/>
              <w:rPr>
                <w:rFonts w:ascii="楷体" w:hAnsi="楷体"/>
                <w:sz w:val="18"/>
              </w:rPr>
            </w:pPr>
            <w:r>
              <w:rPr>
                <w:rFonts w:ascii="楷体" w:hAnsi="楷体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spacing w:before="48"/>
              <w:ind w:right="64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固化时间</w:t>
            </w:r>
            <w:r>
              <w:rPr>
                <w:sz w:val="18"/>
              </w:rPr>
              <w:t>/min@100</w:t>
            </w:r>
            <w:r>
              <w:rPr>
                <w:rFonts w:hint="eastAsia" w:ascii="楷体" w:hAnsi="楷体" w:eastAsia="楷体"/>
                <w:sz w:val="18"/>
              </w:rPr>
              <w:t>℃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59"/>
              <w:ind w:left="62"/>
              <w:rPr>
                <w:sz w:val="18"/>
              </w:rPr>
            </w:pPr>
            <w:r>
              <w:rPr>
                <w:sz w:val="18"/>
              </w:rPr>
              <w:t>20~30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48"/>
              <w:ind w:left="95" w:right="49"/>
              <w:rPr>
                <w:rFonts w:ascii="楷体" w:hAnsi="楷体"/>
                <w:sz w:val="18"/>
              </w:rPr>
            </w:pPr>
            <w:r>
              <w:rPr>
                <w:rFonts w:ascii="楷体" w:hAnsi="楷体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388" w:type="dxa"/>
            <w:gridSpan w:val="3"/>
            <w:shd w:val="clear" w:color="auto" w:fill="33CC33"/>
          </w:tcPr>
          <w:p>
            <w:pPr>
              <w:pStyle w:val="10"/>
              <w:spacing w:before="55"/>
              <w:ind w:left="369" w:right="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1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硬度</w:t>
            </w:r>
            <w:r>
              <w:rPr>
                <w:sz w:val="18"/>
              </w:rPr>
              <w:t>/</w:t>
            </w:r>
            <w:r>
              <w:rPr>
                <w:rFonts w:hint="eastAsia" w:ascii="楷体" w:eastAsia="楷体"/>
                <w:sz w:val="18"/>
              </w:rPr>
              <w:t xml:space="preserve">邵 </w:t>
            </w:r>
            <w:r>
              <w:rPr>
                <w:sz w:val="18"/>
              </w:rPr>
              <w:t>A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ind w:left="55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2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30"/>
              <w:ind w:left="95" w:right="53"/>
              <w:rPr>
                <w:rFonts w:ascii="楷体"/>
                <w:sz w:val="21"/>
              </w:rPr>
            </w:pPr>
            <w:r>
              <w:rPr>
                <w:rFonts w:ascii="楷体"/>
                <w:sz w:val="21"/>
              </w:rPr>
              <w:t>GB/T531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spacing w:before="48"/>
              <w:ind w:right="65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 xml:space="preserve">比重 </w:t>
            </w:r>
            <w:r>
              <w:rPr>
                <w:sz w:val="18"/>
              </w:rPr>
              <w:t>g/cm3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48"/>
              <w:ind w:left="58"/>
              <w:rPr>
                <w:sz w:val="18"/>
              </w:rPr>
            </w:pPr>
            <w:r>
              <w:rPr>
                <w:sz w:val="18"/>
              </w:rPr>
              <w:t>1.10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0.05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27"/>
              <w:ind w:left="95" w:right="50"/>
              <w:rPr>
                <w:rFonts w:ascii="楷体"/>
                <w:sz w:val="21"/>
              </w:rPr>
            </w:pPr>
            <w:r>
              <w:rPr>
                <w:rFonts w:ascii="楷体"/>
                <w:sz w:val="21"/>
              </w:rPr>
              <w:t>GB/T2794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1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抗拉强度</w:t>
            </w:r>
            <w:r>
              <w:rPr>
                <w:sz w:val="18"/>
              </w:rPr>
              <w:t>/MPa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59"/>
              <w:ind w:left="55"/>
              <w:rPr>
                <w:sz w:val="18"/>
              </w:rPr>
            </w:pPr>
            <w:r>
              <w:rPr>
                <w:sz w:val="18"/>
              </w:rPr>
              <w:t>&gt;6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59"/>
              <w:ind w:left="95" w:right="50"/>
              <w:rPr>
                <w:sz w:val="18"/>
              </w:rPr>
            </w:pPr>
            <w:r>
              <w:rPr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spacing w:before="47"/>
              <w:ind w:right="66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撕裂强度</w:t>
            </w:r>
            <w:r>
              <w:rPr>
                <w:sz w:val="18"/>
              </w:rPr>
              <w:t>/kN/mm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47"/>
              <w:ind w:left="58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＞</w:t>
            </w:r>
            <w:r>
              <w:rPr>
                <w:sz w:val="18"/>
              </w:rPr>
              <w:t>12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59"/>
              <w:ind w:left="95" w:right="50"/>
              <w:rPr>
                <w:sz w:val="18"/>
              </w:rPr>
            </w:pPr>
            <w:r>
              <w:rPr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1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伸长率</w:t>
            </w:r>
            <w:r>
              <w:rPr>
                <w:sz w:val="18"/>
              </w:rPr>
              <w:t>%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ind w:left="55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＞</w:t>
            </w:r>
            <w:r>
              <w:rPr>
                <w:sz w:val="18"/>
              </w:rPr>
              <w:t>300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59"/>
              <w:ind w:left="95" w:right="50"/>
              <w:rPr>
                <w:sz w:val="18"/>
              </w:rPr>
            </w:pPr>
            <w:r>
              <w:rPr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spacing w:before="48"/>
              <w:ind w:right="66"/>
              <w:rPr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击穿电压</w:t>
            </w:r>
            <w:r>
              <w:rPr>
                <w:sz w:val="18"/>
              </w:rPr>
              <w:t>kv/mm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48"/>
              <w:ind w:left="58"/>
              <w:rPr>
                <w:sz w:val="18"/>
              </w:rPr>
            </w:pPr>
            <w:r>
              <w:rPr>
                <w:rFonts w:ascii="楷体" w:hAnsi="楷体"/>
                <w:sz w:val="18"/>
              </w:rPr>
              <w:t>≥</w:t>
            </w:r>
            <w:r>
              <w:rPr>
                <w:sz w:val="18"/>
              </w:rPr>
              <w:t>30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27"/>
              <w:ind w:left="95" w:right="53"/>
              <w:rPr>
                <w:rFonts w:ascii="楷体"/>
                <w:sz w:val="21"/>
              </w:rPr>
            </w:pPr>
            <w:r>
              <w:rPr>
                <w:rFonts w:ascii="楷体"/>
                <w:sz w:val="21"/>
              </w:rPr>
              <w:t>GB/T1408.1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6" w:type="dxa"/>
            <w:tcBorders>
              <w:right w:val="nil"/>
            </w:tcBorders>
          </w:tcPr>
          <w:p>
            <w:pPr>
              <w:pStyle w:val="10"/>
              <w:ind w:right="62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体积电阻率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10"/>
              <w:spacing w:before="41"/>
              <w:ind w:left="58"/>
              <w:rPr>
                <w:sz w:val="13"/>
              </w:rPr>
            </w:pPr>
            <w:r>
              <w:rPr>
                <w:rFonts w:ascii="楷体" w:hAnsi="楷体"/>
                <w:sz w:val="18"/>
              </w:rPr>
              <w:t>≥</w:t>
            </w:r>
            <w:r>
              <w:rPr>
                <w:sz w:val="18"/>
              </w:rPr>
              <w:t>1</w:t>
            </w:r>
            <w:r>
              <w:rPr>
                <w:sz w:val="21"/>
              </w:rPr>
              <w:t>×10</w:t>
            </w:r>
            <w:r>
              <w:rPr>
                <w:position w:val="7"/>
                <w:sz w:val="13"/>
              </w:rPr>
              <w:t>15</w:t>
            </w:r>
          </w:p>
        </w:tc>
        <w:tc>
          <w:tcPr>
            <w:tcW w:w="1243" w:type="dxa"/>
            <w:tcBorders>
              <w:left w:val="nil"/>
            </w:tcBorders>
          </w:tcPr>
          <w:p>
            <w:pPr>
              <w:pStyle w:val="10"/>
              <w:spacing w:before="29"/>
              <w:ind w:left="95" w:right="50"/>
              <w:rPr>
                <w:rFonts w:ascii="楷体"/>
                <w:sz w:val="21"/>
              </w:rPr>
            </w:pPr>
            <w:r>
              <w:rPr>
                <w:rFonts w:ascii="楷体"/>
                <w:sz w:val="21"/>
              </w:rPr>
              <w:t>GB/T1692</w:t>
            </w:r>
          </w:p>
        </w:tc>
      </w:tr>
    </w:tbl>
    <w:p>
      <w:pPr>
        <w:spacing w:before="0"/>
        <w:ind w:left="-66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sectPr>
          <w:type w:val="continuous"/>
          <w:pgSz w:w="11910" w:h="16840"/>
          <w:pgMar w:top="840" w:right="1480" w:bottom="280" w:left="940" w:header="720" w:footer="720" w:gutter="0"/>
          <w:cols w:equalWidth="0" w:num="2">
            <w:col w:w="4532" w:space="748"/>
            <w:col w:w="4209"/>
          </w:cols>
        </w:sect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spacing w:before="102" w:line="278" w:lineRule="auto"/>
        <w:ind w:left="-660" w:leftChars="0" w:right="-630" w:rightChars="0" w:firstLine="420" w:firstLineChars="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本产品属于加成型固化硅橡胶，遇到以下物质会影响或阻碍产品的固化： 含有锡（Sn2+）、铅（Pb2+）、汞（Hg2+）等重金属离子的化合物；有机锡以及含有机锡的硅酮胶；含 N、S、P 的有机化合物；某些不饱和碳氢增塑剂等。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34"/>
        <w:ind w:left="-219" w:leftChars="0" w:firstLine="0" w:firstLineChars="0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20kg/桶，40kg/组。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spacing w:before="134"/>
        <w:ind w:left="-219" w:leftChars="0" w:firstLine="0" w:firstLineChars="0"/>
        <w:rPr>
          <w:sz w:val="22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在 30℃以下密封保存，A、B 组分的有效期为自生产日期后十二个月。</w:t>
      </w:r>
      <w:bookmarkStart w:id="0" w:name="_GoBack"/>
      <w:bookmarkEnd w:id="0"/>
    </w:p>
    <w:sectPr>
      <w:type w:val="continuous"/>
      <w:pgSz w:w="11910" w:h="16840"/>
      <w:pgMar w:top="840" w:right="1480" w:bottom="280" w:left="16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03350"/>
          <wp:effectExtent l="0" t="0" r="0" b="6350"/>
          <wp:docPr id="7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4E4A"/>
    <w:rsid w:val="059052DB"/>
    <w:rsid w:val="0C9C47EC"/>
    <w:rsid w:val="12D52749"/>
    <w:rsid w:val="25B4705F"/>
    <w:rsid w:val="260D4314"/>
    <w:rsid w:val="2A937131"/>
    <w:rsid w:val="32D25786"/>
    <w:rsid w:val="3F724832"/>
    <w:rsid w:val="5505544A"/>
    <w:rsid w:val="62357639"/>
    <w:rsid w:val="6B13759D"/>
    <w:rsid w:val="70CE67FA"/>
    <w:rsid w:val="72247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4"/>
      <w:ind w:left="764" w:hanging="86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0"/>
      <w:ind w:left="95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2020-04-09T01:39:00Z</dcterms:created>
  <dc:creator>Administrator</dc:creator>
  <cp:lastModifiedBy>康達科技集團-力達創新馮順德</cp:lastModifiedBy>
  <dcterms:modified xsi:type="dcterms:W3CDTF">2020-06-19T01:48:28Z</dcterms:modified>
  <dc:title>TDS TBL-6238-2.0.doc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TDS TBL-6238-2.0.doc - WPS 文字 - 兼容模式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2052-11.1.0.9740</vt:lpwstr>
  </property>
</Properties>
</file>